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《四川省邻水县高登山井田陈二湾煤矿资源储量核实报告》矿产资源储量评审备案公示信息表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邻水县陈二湾煤矿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《四川省邻水县高登山井田陈二湾煤矿资源储量核实报告》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四川省综合地质调查研究所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张立伟  欧业辉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C5100002011101120118995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邻水县陈二湾煤矿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Cs w:val="32"/>
              </w:rPr>
              <w:t>魏文金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冉孟云  刘宗祥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根据2009年3月原四川省地质矿产勘查开发局化探队提交的《四川省华蓥山煤田高登山井田邻水县陈二湾煤矿资源储量核实报告》和四川蓉鑫安全工程技术咨询有限公司2023年11月出具的《邻水县陈二湾煤矿矿产资源开发利用预可行研究报告》，本次资源储量估算工业指标为：最小可采厚度0.30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）40%，最高硫分（S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3%（当原煤硫份大于3%时按浮煤硫份≤3%评价）。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采矿权变更范围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2"/>
              <w:spacing w:line="560" w:lineRule="exact"/>
              <w:ind w:firstLine="60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采矿权范围内评审通过的煤炭资源储量见下表。</w:t>
            </w:r>
          </w:p>
          <w:tbl>
            <w:tblPr>
              <w:tblStyle w:val="13"/>
              <w:tblW w:w="734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1"/>
              <w:gridCol w:w="1095"/>
              <w:gridCol w:w="1036"/>
              <w:gridCol w:w="1046"/>
              <w:gridCol w:w="704"/>
              <w:gridCol w:w="1178"/>
              <w:gridCol w:w="10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3" w:hRule="atLeast"/>
                <w:jc w:val="center"/>
              </w:trPr>
              <w:tc>
                <w:tcPr>
                  <w:tcW w:w="1191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shd w:val="clear" w:fill="FFFFFF" w:themeFill="background1"/>
                      <w:lang w:val="en-US" w:eastAsia="zh-CN"/>
                    </w:rPr>
                    <w:t>项    目</w:t>
                  </w:r>
                </w:p>
              </w:tc>
              <w:tc>
                <w:tcPr>
                  <w:tcW w:w="3881" w:type="dxa"/>
                  <w:gridSpan w:val="4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shd w:val="clear"/>
                      <w:lang w:val="en-US" w:eastAsia="zh-CN"/>
                    </w:rPr>
                    <w:t>资   源   量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shd w:val="clear"/>
                    </w:rPr>
                    <w:t>（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sz w:val="15"/>
                      <w:szCs w:val="15"/>
                      <w:shd w:val="clear"/>
                    </w:rPr>
                    <w:t>万吨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shd w:val="clear"/>
                    </w:rPr>
                    <w:t>）</w:t>
                  </w:r>
                </w:p>
              </w:tc>
              <w:tc>
                <w:tcPr>
                  <w:tcW w:w="2273" w:type="dxa"/>
                  <w:gridSpan w:val="2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   量（万吨）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3" w:hRule="atLeast"/>
                <w:jc w:val="center"/>
              </w:trPr>
              <w:tc>
                <w:tcPr>
                  <w:tcW w:w="1191" w:type="dxa"/>
                  <w:vMerge w:val="continue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探明资源量</w:t>
                  </w:r>
                </w:p>
              </w:tc>
              <w:tc>
                <w:tcPr>
                  <w:tcW w:w="103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控制资源量</w:t>
                  </w:r>
                </w:p>
              </w:tc>
              <w:tc>
                <w:tcPr>
                  <w:tcW w:w="104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推断资源量</w:t>
                  </w:r>
                </w:p>
              </w:tc>
              <w:tc>
                <w:tcPr>
                  <w:tcW w:w="704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小计</w:t>
                  </w:r>
                </w:p>
              </w:tc>
              <w:tc>
                <w:tcPr>
                  <w:tcW w:w="1178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证实储量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可信储量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  <w:jc w:val="center"/>
              </w:trPr>
              <w:tc>
                <w:tcPr>
                  <w:tcW w:w="1191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保有资源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</w:p>
              </w:tc>
              <w:tc>
                <w:tcPr>
                  <w:tcW w:w="103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270.5</w:t>
                  </w:r>
                </w:p>
              </w:tc>
              <w:tc>
                <w:tcPr>
                  <w:tcW w:w="104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128.1</w:t>
                  </w:r>
                </w:p>
              </w:tc>
              <w:tc>
                <w:tcPr>
                  <w:tcW w:w="704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398.6</w:t>
                  </w:r>
                </w:p>
              </w:tc>
              <w:tc>
                <w:tcPr>
                  <w:tcW w:w="117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213.1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  <w:jc w:val="center"/>
              </w:trPr>
              <w:tc>
                <w:tcPr>
                  <w:tcW w:w="1191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动用资源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337.1</w:t>
                  </w:r>
                </w:p>
              </w:tc>
              <w:tc>
                <w:tcPr>
                  <w:tcW w:w="103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4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704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337.1</w:t>
                  </w:r>
                </w:p>
              </w:tc>
              <w:tc>
                <w:tcPr>
                  <w:tcW w:w="117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265.7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6" w:hRule="atLeast"/>
                <w:jc w:val="center"/>
              </w:trPr>
              <w:tc>
                <w:tcPr>
                  <w:tcW w:w="1191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7"/>
                    <w:keepNext w:val="0"/>
                    <w:keepLines w:val="0"/>
                    <w:pageBreakBefore w:val="0"/>
                    <w:widowControl w:val="0"/>
                    <w:shd w:val="clear" w:color="auto" w:fill="FFFFFF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查明资源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/>
                    </w:rPr>
                    <w:t>储</w:t>
                  </w:r>
                  <w:r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</w:rPr>
                    <w:t>量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337.1</w:t>
                  </w:r>
                </w:p>
              </w:tc>
              <w:tc>
                <w:tcPr>
                  <w:tcW w:w="103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270.5</w:t>
                  </w:r>
                </w:p>
              </w:tc>
              <w:tc>
                <w:tcPr>
                  <w:tcW w:w="1046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eastAsia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128.1</w:t>
                  </w:r>
                </w:p>
              </w:tc>
              <w:tc>
                <w:tcPr>
                  <w:tcW w:w="704" w:type="dxa"/>
                  <w:shd w:val="clear" w:color="auto" w:fill="auto"/>
                  <w:noWrap w:val="0"/>
                  <w:vAlign w:val="center"/>
                </w:tcPr>
                <w:p>
                  <w:pPr>
                    <w:pStyle w:val="20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snapToGrid w:val="0"/>
                      <w:color w:val="auto"/>
                      <w:kern w:val="15"/>
                      <w:sz w:val="15"/>
                      <w:szCs w:val="15"/>
                      <w:lang w:val="en-US" w:eastAsia="zh-CN" w:bidi="ar-SA"/>
                    </w:rPr>
                    <w:t>735.7</w:t>
                  </w:r>
                </w:p>
              </w:tc>
              <w:tc>
                <w:tcPr>
                  <w:tcW w:w="1178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265.7</w:t>
                  </w:r>
                </w:p>
              </w:tc>
              <w:tc>
                <w:tcPr>
                  <w:tcW w:w="1095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rPr>
                      <w:rFonts w:hint="default" w:ascii="仿宋" w:hAnsi="仿宋" w:eastAsia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</w:pPr>
                  <w:r>
                    <w:rPr>
                      <w:rFonts w:hint="eastAsia" w:ascii="仿宋" w:hAnsi="仿宋" w:cs="仿宋"/>
                      <w:color w:val="auto"/>
                      <w:kern w:val="0"/>
                      <w:sz w:val="15"/>
                      <w:szCs w:val="15"/>
                      <w:lang w:val="en-US" w:eastAsia="zh-CN" w:bidi="ar-SA"/>
                    </w:rPr>
                    <w:t>213.1</w:t>
                  </w:r>
                </w:p>
              </w:tc>
            </w:tr>
          </w:tbl>
          <w:p>
            <w:pPr>
              <w:pStyle w:val="2"/>
              <w:spacing w:line="360" w:lineRule="auto"/>
              <w:ind w:firstLine="60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另避让退出区据2009年的核实报告分割资源量45.5万吨，其中动用资源量44.7万吨，保有控制资源量0.2万吨，推断资源量0.6万吨。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本报告的项目负责人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为袁智敏。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评审通过的资源储量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与最近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评审备案资源量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相比，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查明资源量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在同范围内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增加了50.9万吨，主要原因为巷道揭露局部地段煤层厚度增大。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2A47089"/>
    <w:rsid w:val="04F2757C"/>
    <w:rsid w:val="052C6F98"/>
    <w:rsid w:val="073C399C"/>
    <w:rsid w:val="07926962"/>
    <w:rsid w:val="09A64CEC"/>
    <w:rsid w:val="0B63755A"/>
    <w:rsid w:val="0E741BC0"/>
    <w:rsid w:val="0ECF39FA"/>
    <w:rsid w:val="0F510C48"/>
    <w:rsid w:val="0F5D3253"/>
    <w:rsid w:val="102E6CFE"/>
    <w:rsid w:val="12C34231"/>
    <w:rsid w:val="13063208"/>
    <w:rsid w:val="13F723B5"/>
    <w:rsid w:val="15827F48"/>
    <w:rsid w:val="160C13C3"/>
    <w:rsid w:val="17793A79"/>
    <w:rsid w:val="1A4A4952"/>
    <w:rsid w:val="1B8732E9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2359EF"/>
    <w:rsid w:val="31560EF9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0CD373C"/>
    <w:rsid w:val="420B7727"/>
    <w:rsid w:val="42531B7C"/>
    <w:rsid w:val="436F0451"/>
    <w:rsid w:val="437E6621"/>
    <w:rsid w:val="447B69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2607E7"/>
    <w:rsid w:val="60716DEE"/>
    <w:rsid w:val="609617FC"/>
    <w:rsid w:val="619619C3"/>
    <w:rsid w:val="61DE6A98"/>
    <w:rsid w:val="62DD6DFC"/>
    <w:rsid w:val="62FA7748"/>
    <w:rsid w:val="66197317"/>
    <w:rsid w:val="669D5621"/>
    <w:rsid w:val="67AD3E83"/>
    <w:rsid w:val="67F76100"/>
    <w:rsid w:val="699D154D"/>
    <w:rsid w:val="6B592915"/>
    <w:rsid w:val="6D165A8C"/>
    <w:rsid w:val="6D242065"/>
    <w:rsid w:val="6D9C6338"/>
    <w:rsid w:val="6DDD0CCA"/>
    <w:rsid w:val="6E232CDC"/>
    <w:rsid w:val="6F1D5C78"/>
    <w:rsid w:val="6FA746D0"/>
    <w:rsid w:val="70555797"/>
    <w:rsid w:val="70897467"/>
    <w:rsid w:val="71025FC0"/>
    <w:rsid w:val="72764D14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AC40EC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120" w:after="120" w:line="0" w:lineRule="atLeast"/>
      <w:outlineLvl w:val="1"/>
    </w:pPr>
    <w:rPr>
      <w:rFonts w:eastAsia="黑体"/>
      <w:kern w:val="0"/>
      <w:sz w:val="30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next w:val="4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5"/>
    <w:basedOn w:val="1"/>
    <w:next w:val="1"/>
    <w:autoRedefine/>
    <w:qFormat/>
    <w:uiPriority w:val="0"/>
    <w:pPr>
      <w:ind w:left="800" w:leftChars="800"/>
    </w:pPr>
  </w:style>
  <w:style w:type="paragraph" w:styleId="7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8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9">
    <w:name w:val="toc 3"/>
    <w:basedOn w:val="1"/>
    <w:next w:val="1"/>
    <w:autoRedefine/>
    <w:qFormat/>
    <w:uiPriority w:val="39"/>
    <w:rPr>
      <w:rFonts w:cs="Times New Roman"/>
    </w:rPr>
  </w:style>
  <w:style w:type="paragraph" w:styleId="10">
    <w:name w:val="Plain Text"/>
    <w:basedOn w:val="1"/>
    <w:next w:val="6"/>
    <w:autoRedefine/>
    <w:qFormat/>
    <w:uiPriority w:val="0"/>
    <w:rPr>
      <w:rFonts w:ascii="宋体" w:hAnsi="Courier New"/>
    </w:rPr>
  </w:style>
  <w:style w:type="paragraph" w:styleId="11">
    <w:name w:val="Normal (Web)"/>
    <w:basedOn w:val="1"/>
    <w:autoRedefine/>
    <w:qFormat/>
    <w:uiPriority w:val="0"/>
    <w:rPr>
      <w:sz w:val="24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x正文"/>
    <w:basedOn w:val="1"/>
    <w:autoRedefine/>
    <w:qFormat/>
    <w:uiPriority w:val="0"/>
    <w:pPr>
      <w:spacing w:line="500" w:lineRule="exact"/>
    </w:pPr>
    <w:rPr>
      <w:rFonts w:ascii="宋体" w:hAnsi="宋体"/>
      <w:sz w:val="24"/>
      <w:szCs w:val="22"/>
    </w:rPr>
  </w:style>
  <w:style w:type="paragraph" w:customStyle="1" w:styleId="19">
    <w:name w:val="X正文表"/>
    <w:basedOn w:val="18"/>
    <w:autoRedefine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20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2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2024-04-10T01:42:12Z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2D7DC2E98BD24984ADD227DE05EDAE69_12</vt:lpwstr>
  </property>
</Properties>
</file>