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right="420"/>
        <w:jc w:val="center"/>
        <w:outlineLvl w:val="0"/>
        <w:rPr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年度四川省政府性投资地质勘查项目实施方案审查结果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4"/>
        <w:tblW w:w="49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9"/>
        <w:gridCol w:w="1062"/>
        <w:gridCol w:w="1233"/>
        <w:gridCol w:w="913"/>
        <w:gridCol w:w="1100"/>
        <w:gridCol w:w="693"/>
        <w:gridCol w:w="3295"/>
        <w:gridCol w:w="4461"/>
        <w:gridCol w:w="1565"/>
        <w:gridCol w:w="1125"/>
        <w:gridCol w:w="3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年度项目经费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(万元)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周期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面积(km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预期成果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主要实物工作量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年度实施方案及预算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审查等级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8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DZ202201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四川省雷波县干洛黑磷矿普查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四川省核工业地质调查院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四川省地质调查研究院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595.95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2022.07-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2023.07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提交推断资源量磷矿石1500万吨，提交可供进一步详查的磷矿矿产地1处，提交普查报告及相关附图、附表和附件。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1：10000地形测量19.53km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1：10000地质测量19.53km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1：2000地质剖面测量3km；槽探1000m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；钻探3750m；剖面线测量17.5km；工程点测量6点。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良好（84分）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凉山州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雷波县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DZ202202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四川省金阳县陈家湾磷矿普查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四川省地质矿产勘查开发局一0六地质队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2022.07-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2023.07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52.23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提交推断资源量磷矿石1200万吨，提交可供进一步详查的磷矿矿产地1处，提交普查报告及相关附图、附件和附表。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GPS控制点（E级网）3点；平面地质图（全开）8幅；1:10000专项地质测量（草测）52.23km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1:5000专项地质测量（草测）13.00km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1:2000地质剖面测量4.4km；槽探2500m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；钻探1700m/5孔；勘探基线测量12.7km；剖面线测量12.7km；工程点测量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 w:bidi="ar"/>
              </w:rPr>
              <w:t>5点；岩矿测试560件。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良好（82分）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凉山州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金阳县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DZ202203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四川省会理县汪家湾铜矿普查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四川省地质矿产勘查开发局区域地质调查队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600.84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2022.07-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2023.07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预期提交推断资源量，提出可供转让的区块一处；提交普查报告及相关附图、附件和附表。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GPS控制点(E级网)3点；1:10000地形测量3.42km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；1:10000地质测量3.42km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1:2000地质剖面测量2.17km；可控源音频大地电磁测80点；物探剖面布设（点距40m）2.96km；槽探200m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钻探2650m/8孔；勘探基线测量3.6km；剖面线测量2.17km；工程点测量8点。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及格（75分）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凉山州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会理市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DZ202204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四川省金阳县热水河铜矿普查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四川省地质矿产勘查开发局物探队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四川省地质调查研究院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2022.07-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2023.07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提交可供进一步开展详查的矿产地1处，估算铜推断资源量，提交普查报告及相关附图、附件和附表。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1∶2000勘探线基线测量2.8km；工程点测量15个；1∶10000地质测量（简测）5.61km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1∶5000地质剖面测量2.1km；1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 w:bidi="ar"/>
              </w:rPr>
              <w:t>∶2000勘探线剖面地质测量2.8km；AMT测深剖面1.5km；槽探1000m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1：2000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激电中梯剖面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7.4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（点距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激电测深测量60点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1：10000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土壤剖面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7.4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 w:bidi="ar"/>
              </w:rPr>
              <w:t>钻探1330m。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及格（77分）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凉山州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金阳县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DZ202101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四川省若尔盖县XX地区X矿普查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四川省核工业地质调查院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四川省地质调查研究院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1248.79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2021.06-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2023.06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提供可供详查的矿产地1处；</w:t>
            </w:r>
          </w:p>
          <w:p>
            <w:pPr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提交普查报告及相关附图、附件和附表；</w:t>
            </w:r>
          </w:p>
          <w:p>
            <w:pPr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发表中文核心期刊论文2篇。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良好（80分）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阿坝州</w:t>
            </w:r>
          </w:p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若尔盖县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按2021年下达任务书开展工作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DZ202102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四川省丹巴县永西金多金属矿普查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四川省地质矿产勘查开发局四0二地质队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403.00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2021.06-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2023.06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提供可供详查的矿产地1处；</w:t>
            </w:r>
          </w:p>
          <w:p>
            <w:pPr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提交普查报告及相关附图、附件和附表；</w:t>
            </w:r>
          </w:p>
          <w:p>
            <w:pPr>
              <w:spacing w:line="280" w:lineRule="atLeas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发表中文核心期刊论文1篇。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调整后工作量：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第一勘查年度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（已完成）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：1:10000地形测量30.33km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；1:10000地质测量（草测）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km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；1:2000地质剖面测量（草测）4km；1:25000土壤测量（沟系）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24.65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km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（网度:250*50）；1:10000土壤测量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4.21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km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（网度:100*40）；1:10000遥感解译50km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；基本分析样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197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件；土壤样3002件。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第二勘查年度：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1:200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0地形测量（草测）3km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1:2000地质测量（草测）1.4km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1:500地质剖面测量0.96km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槽探（剥土）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钻探2250m/12孔；基本分析样50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件；小体重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0件；力学样10组；物相分析（Au）10件、水质分析样2件。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其中，两个年度岩矿测试不少于550件样品。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良好（80分）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甘孜州</w:t>
            </w:r>
          </w:p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丹巴县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1.2022年3月24日，经该项目实施方案审查专家组同意，因项目受地形客观因素制约而难以完成的部分工作任务调整如下：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（1）原2021年度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取样钻540m调整为槽探（剥土）1370m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，2022年度实施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（2）第一年度地质测量、土壤（沟系）、土壤测量未完成部分，调整为1:500地质剖面测量0.96km、1:2000地形测量（草测）3km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、1:2000地质测量（草测）1.4km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2.其他按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2021年下达任务书开展工作。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DZ202103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四川省旺苍县大河坝石墨矿普查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四川省地质矿产勘查开发局化探队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四川省地质调查研究院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520.72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2021.06-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2023.06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20.14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提交新增推断资源量石墨矿物500万吨；</w:t>
            </w:r>
          </w:p>
          <w:p>
            <w:pPr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提供可供详查的矿产地1处；</w:t>
            </w:r>
          </w:p>
          <w:p>
            <w:pPr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提交普查报告及相关附图、附件和附表；</w:t>
            </w:r>
          </w:p>
          <w:p>
            <w:pPr>
              <w:spacing w:line="28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发表中文核心期刊论文3篇。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良好（84.4分）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广元市</w:t>
            </w:r>
          </w:p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旺苍县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按2021年下达任务书开展工作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DZ202104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四川省攀枝花市仁和区同德石墨矿普查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四川省地质矿产勘查开发局一0六地质队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283.00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2021.06-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2023.06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18.982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提交新增推断资源量晶质石墨矿物550万吨；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提供可供详查的矿产地1处；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提交普查报告及相关附图、附件和附表；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发表中文核心期刊论文1-2篇。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良好（82.5分）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攀枝花市仁和区</w:t>
            </w:r>
          </w:p>
        </w:tc>
        <w:tc>
          <w:tcPr>
            <w:tcW w:w="7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DZ202105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四川省乐山市马边彝族自治县黄家坪磷矿普查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四川省地质矿产勘查开发局二零七地质队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四川省地质矿产勘查开发局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820.00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2021.06-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2023.06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14.885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提交新增推断资源量磷矿石2.8亿吨；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提供可供详查的矿产地1处；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提交普查报告及相关附图、附件和附表；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发表中文核心期刊论文1-2篇。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优秀（90.5分）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乐山市马边彝族自治县</w:t>
            </w:r>
          </w:p>
        </w:tc>
        <w:tc>
          <w:tcPr>
            <w:tcW w:w="7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hint="default" w:ascii="微软雅黑" w:hAnsi="微软雅黑" w:eastAsia="微软雅黑" w:cs="Times"/>
          <w:kern w:val="0"/>
          <w:sz w:val="52"/>
          <w:szCs w:val="52"/>
          <w:lang w:val="en-US" w:eastAsia="zh-CN"/>
        </w:rPr>
        <w:sectPr>
          <w:footerReference r:id="rId3" w:type="default"/>
          <w:pgSz w:w="23757" w:h="16783" w:orient="landscape"/>
          <w:pgMar w:top="1440" w:right="1406" w:bottom="1440" w:left="1406" w:header="851" w:footer="992" w:gutter="0"/>
          <w:pgNumType w:fmt="decimal" w:start="4"/>
          <w:cols w:space="720" w:num="1"/>
          <w:docGrid w:type="lines" w:linePitch="32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autoSpaceDE w:val="0"/>
                            <w:autoSpaceDN w:val="0"/>
                            <w:adjustRightInd w:val="0"/>
                            <w:ind w:left="210" w:leftChars="100" w:right="210" w:rightChars="100"/>
                            <w:jc w:val="right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4mnCfWAAAACAEAAA8AAAAAAAAAAQAgAAAAIgAAAGRycy9kb3ducmV2LnhtbFBLAQIUABQAAAAI&#10;AIdO4kDInqDCtgEAAFQDAAAOAAAAAAAAAAEAIAAAACUBAABkcnMvZTJvRG9jLnhtbFBLBQYAAAAA&#10;BgAGAFkBAABN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autoSpaceDE w:val="0"/>
                      <w:autoSpaceDN w:val="0"/>
                      <w:adjustRightInd w:val="0"/>
                      <w:ind w:left="210" w:leftChars="100" w:right="210" w:rightChars="100"/>
                      <w:jc w:val="right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6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2022-07-08T01:33:50Z</dcterms:created>
  <dc:creator>Administrator</dc:creator>
  <cp:lastModifiedBy>Administrator</cp:lastModifiedBy>
  <dcterms:modified xsi:type="dcterms:W3CDTF">2022-07-08T01:34:04Z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