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bCs/>
          <w:color w:val="auto"/>
          <w:kern w:val="44"/>
          <w:sz w:val="44"/>
          <w:szCs w:val="44"/>
          <w:highlight w:val="none"/>
          <w:lang w:val="en-US" w:eastAsia="zh-CN"/>
        </w:rPr>
      </w:pPr>
      <w:r>
        <w:rPr>
          <w:rFonts w:hint="eastAsia" w:ascii="方正小标宋简体" w:hAnsi="方正小标宋简体" w:eastAsia="方正小标宋简体" w:cs="方正小标宋简体"/>
          <w:bCs/>
          <w:color w:val="auto"/>
          <w:kern w:val="44"/>
          <w:sz w:val="44"/>
          <w:szCs w:val="44"/>
          <w:highlight w:val="none"/>
          <w:lang w:val="en-US" w:eastAsia="zh-CN"/>
        </w:rPr>
        <w:t>土地整治项目</w:t>
      </w:r>
      <w:r>
        <w:rPr>
          <w:rFonts w:hint="eastAsia" w:ascii="方正小标宋简体" w:hAnsi="方正小标宋简体" w:eastAsia="方正小标宋简体" w:cs="方正小标宋简体"/>
          <w:bCs/>
          <w:color w:val="auto"/>
          <w:kern w:val="44"/>
          <w:sz w:val="44"/>
          <w:szCs w:val="44"/>
          <w:highlight w:val="none"/>
          <w:lang w:val="en-GB"/>
        </w:rPr>
        <w:t>规划设计成果审查</w:t>
      </w:r>
      <w:r>
        <w:rPr>
          <w:rFonts w:hint="eastAsia" w:ascii="方正小标宋简体" w:hAnsi="方正小标宋简体" w:eastAsia="方正小标宋简体" w:cs="方正小标宋简体"/>
          <w:bCs/>
          <w:color w:val="auto"/>
          <w:kern w:val="44"/>
          <w:sz w:val="44"/>
          <w:szCs w:val="44"/>
          <w:highlight w:val="none"/>
          <w:lang w:val="en-US" w:eastAsia="zh-CN"/>
        </w:rPr>
        <w:t>要求</w:t>
      </w:r>
    </w:p>
    <w:p>
      <w:pPr>
        <w:keepNext/>
        <w:keepLines/>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hint="eastAsia" w:ascii="方正小标宋简体" w:hAnsi="方正小标宋简体" w:eastAsia="方正小标宋简体" w:cs="方正小标宋简体"/>
          <w:bCs/>
          <w:color w:val="auto"/>
          <w:kern w:val="44"/>
          <w:sz w:val="36"/>
          <w:szCs w:val="36"/>
          <w:highlight w:val="none"/>
          <w:lang w:val="en-US" w:eastAsia="zh-CN"/>
        </w:rPr>
      </w:pPr>
      <w:bookmarkStart w:id="23" w:name="_GoBack"/>
      <w:bookmarkEnd w:id="23"/>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1"/>
        <w:rPr>
          <w:rFonts w:hint="eastAsia" w:ascii="黑体" w:hAnsi="黑体" w:eastAsia="黑体" w:cs="黑体"/>
          <w:bCs/>
          <w:color w:val="auto"/>
          <w:sz w:val="32"/>
          <w:szCs w:val="28"/>
          <w:highlight w:val="none"/>
          <w:lang w:val="en-GB"/>
        </w:rPr>
      </w:pPr>
      <w:bookmarkStart w:id="0" w:name="_Toc353805360"/>
      <w:bookmarkStart w:id="1" w:name="_Toc24364"/>
      <w:bookmarkStart w:id="2" w:name="_Toc23407"/>
      <w:bookmarkStart w:id="3" w:name="_Toc7364"/>
      <w:bookmarkStart w:id="4" w:name="_Toc18303"/>
      <w:bookmarkStart w:id="5" w:name="_Toc32487"/>
      <w:bookmarkStart w:id="6" w:name="_Toc31911"/>
      <w:bookmarkStart w:id="7" w:name="_Toc629"/>
      <w:bookmarkStart w:id="8" w:name="_Toc6273"/>
      <w:bookmarkStart w:id="9" w:name="_Toc1408"/>
      <w:bookmarkStart w:id="10" w:name="_Toc10278"/>
      <w:r>
        <w:rPr>
          <w:rFonts w:hint="eastAsia" w:ascii="黑体" w:hAnsi="黑体" w:eastAsia="黑体" w:cs="黑体"/>
          <w:bCs/>
          <w:color w:val="auto"/>
          <w:sz w:val="32"/>
          <w:szCs w:val="28"/>
          <w:highlight w:val="none"/>
          <w:lang w:val="en-US" w:eastAsia="zh-CN"/>
        </w:rPr>
        <w:t>一、</w:t>
      </w:r>
      <w:r>
        <w:rPr>
          <w:rFonts w:hint="eastAsia" w:ascii="黑体" w:hAnsi="黑体" w:eastAsia="黑体" w:cs="黑体"/>
          <w:bCs/>
          <w:color w:val="auto"/>
          <w:sz w:val="32"/>
          <w:szCs w:val="28"/>
          <w:highlight w:val="none"/>
        </w:rPr>
        <w:t>审查</w:t>
      </w:r>
      <w:r>
        <w:rPr>
          <w:rFonts w:hint="eastAsia" w:ascii="黑体" w:hAnsi="黑体" w:eastAsia="黑体" w:cs="黑体"/>
          <w:bCs/>
          <w:color w:val="auto"/>
          <w:sz w:val="32"/>
          <w:szCs w:val="28"/>
          <w:highlight w:val="none"/>
          <w:lang w:val="en-GB"/>
        </w:rPr>
        <w:t>要点</w:t>
      </w:r>
      <w:bookmarkEnd w:id="0"/>
      <w:bookmarkEnd w:id="1"/>
      <w:bookmarkEnd w:id="2"/>
      <w:bookmarkEnd w:id="3"/>
      <w:bookmarkEnd w:id="4"/>
      <w:bookmarkEnd w:id="5"/>
      <w:bookmarkEnd w:id="6"/>
      <w:bookmarkEnd w:id="7"/>
      <w:bookmarkEnd w:id="8"/>
      <w:bookmarkEnd w:id="9"/>
      <w:bookmarkEnd w:id="10"/>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一</w:t>
      </w: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rPr>
        <w:t>规划图审查要点</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1</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规划图以现状图为底图进行编制。规划工程原则上不得超出项目区范围（边界）。与项目区外现有基础设施衔接的规划工程（小型工程或工程量较小）可酌情考虑。</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2</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土地平整区域结合地形、农业产业化结构调整等因素进行确定，重点整治区集中成片。</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3</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灌溉与排水工程布置结合灌溉水源与排水承泄区的位置以及项目区地形地貌情况等，不同级别渠道之间合理连接。</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4</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项目区田间道路布置通达、方便生产</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集约</w:t>
      </w:r>
      <w:r>
        <w:rPr>
          <w:rFonts w:hint="eastAsia" w:ascii="Times New Roman" w:hAnsi="Times New Roman" w:eastAsia="仿宋_GB2312" w:cs="Times New Roman"/>
          <w:color w:val="auto"/>
          <w:sz w:val="32"/>
          <w:szCs w:val="24"/>
          <w:highlight w:val="none"/>
          <w:lang w:val="en-US" w:eastAsia="zh-CN"/>
        </w:rPr>
        <w:t>以及</w:t>
      </w:r>
      <w:r>
        <w:rPr>
          <w:rFonts w:hint="eastAsia" w:ascii="Times New Roman" w:hAnsi="Times New Roman" w:eastAsia="仿宋_GB2312" w:cs="Times New Roman"/>
          <w:color w:val="auto"/>
          <w:sz w:val="32"/>
          <w:szCs w:val="24"/>
          <w:highlight w:val="none"/>
        </w:rPr>
        <w:t>充分利用原有道路。</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5</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各级排灌沟渠和道路的相互关系与配置合理。</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6</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各种规划的主要建筑物（如桥、涵、闸、渡槽、泵站、小型蓄水工程等）布设必要、合理。</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7</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水源为水库、山平塘的，标注总库容、有效库容、设计灌溉面积；标注进入项目区渠道的引水流量以及其他各种水源点的流量；标注河流、沟渠水流流向；穿过项目区的公路，标注道路通往情况。</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8</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规划设计的工程内容标注齐全、明确，主要单项工程编号，工程类型和数量与报告中描述的相符。涉及新增耕地的工程：新建、整形田坎在规划图上标注，并用颜色区分，图例说明</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底图要素完整，原田坎</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埂</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做淡化处理，拆除田坎在规划图标识符号×</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9</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附项目基本情况（简介）、项目主要技术经济指标表、整理前后土地利用结构调整表等。</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10</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项目区边界上标注四至坐标（采用2000</w:t>
      </w:r>
      <w:r>
        <w:rPr>
          <w:rFonts w:hint="eastAsia" w:ascii="Times New Roman" w:hAnsi="Times New Roman" w:eastAsia="仿宋_GB2312" w:cs="Times New Roman"/>
          <w:color w:val="auto"/>
          <w:sz w:val="32"/>
          <w:szCs w:val="24"/>
          <w:highlight w:val="none"/>
          <w:lang w:val="en-US" w:eastAsia="zh-CN"/>
        </w:rPr>
        <w:t>国家</w:t>
      </w:r>
      <w:r>
        <w:rPr>
          <w:rFonts w:hint="eastAsia" w:ascii="Times New Roman" w:hAnsi="Times New Roman" w:eastAsia="仿宋_GB2312" w:cs="Times New Roman"/>
          <w:color w:val="auto"/>
          <w:sz w:val="32"/>
          <w:szCs w:val="24"/>
          <w:highlight w:val="none"/>
        </w:rPr>
        <w:t>大地坐标）、比例尺、指北针等；主要建筑物处标注有高程（采用1985年国家高程基准）。</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11</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规划图的比例尺符合要求；图例符合规范，图例与图中标注一致。</w:t>
      </w:r>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二</w:t>
      </w: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rPr>
        <w:t>新增耕地潜力分析影像图审查要点</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1.分村成图。涉及该项目的新增耕地在图中完整表达，并按序编号。</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2.田坎新增耕地勾画范围与航拍影像资料吻合。田坎新增耕地勾画与航拍影像资料套合后，田坎勾画的</w:t>
      </w:r>
      <w:r>
        <w:rPr>
          <w:rFonts w:hint="eastAsia" w:ascii="Times New Roman" w:hAnsi="Times New Roman" w:eastAsia="仿宋_GB2312" w:cs="Times New Roman"/>
          <w:color w:val="auto"/>
          <w:sz w:val="32"/>
          <w:szCs w:val="24"/>
          <w:highlight w:val="none"/>
          <w:lang w:val="en-US" w:eastAsia="zh-CN"/>
        </w:rPr>
        <w:t>长度、</w:t>
      </w:r>
      <w:r>
        <w:rPr>
          <w:rFonts w:hint="eastAsia" w:ascii="Times New Roman" w:hAnsi="Times New Roman" w:eastAsia="仿宋_GB2312" w:cs="Times New Roman"/>
          <w:color w:val="auto"/>
          <w:sz w:val="32"/>
          <w:szCs w:val="24"/>
          <w:highlight w:val="none"/>
        </w:rPr>
        <w:t>宽度准确（</w:t>
      </w:r>
      <w:r>
        <w:rPr>
          <w:rFonts w:hint="eastAsia" w:ascii="Times New Roman" w:hAnsi="Times New Roman" w:eastAsia="仿宋_GB2312" w:cs="Times New Roman"/>
          <w:color w:val="auto"/>
          <w:sz w:val="32"/>
          <w:szCs w:val="24"/>
          <w:highlight w:val="none"/>
          <w:lang w:val="en-US" w:eastAsia="zh-CN"/>
        </w:rPr>
        <w:t>无</w:t>
      </w:r>
      <w:r>
        <w:rPr>
          <w:rFonts w:hint="eastAsia" w:ascii="Times New Roman" w:hAnsi="Times New Roman" w:eastAsia="仿宋_GB2312" w:cs="Times New Roman"/>
          <w:color w:val="auto"/>
          <w:sz w:val="32"/>
          <w:szCs w:val="24"/>
          <w:highlight w:val="none"/>
        </w:rPr>
        <w:t>边界扩充“长长</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长</w:t>
      </w:r>
      <w:r>
        <w:rPr>
          <w:rFonts w:hint="eastAsia" w:ascii="Times New Roman" w:hAnsi="Times New Roman" w:eastAsia="仿宋_GB2312" w:cs="Times New Roman"/>
          <w:color w:val="auto"/>
          <w:sz w:val="32"/>
          <w:szCs w:val="24"/>
          <w:highlight w:val="none"/>
          <w:lang w:val="en-US" w:eastAsia="zh-CN"/>
        </w:rPr>
        <w:t>宽</w:t>
      </w:r>
      <w:r>
        <w:rPr>
          <w:rFonts w:hint="eastAsia" w:ascii="Times New Roman" w:hAnsi="Times New Roman" w:eastAsia="仿宋_GB2312" w:cs="Times New Roman"/>
          <w:color w:val="auto"/>
          <w:sz w:val="32"/>
          <w:szCs w:val="24"/>
          <w:highlight w:val="none"/>
        </w:rPr>
        <w:t>”）、宽度小于1米的田坎不得纳入新增耕地。</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3.提质改造区在图上表达。</w:t>
      </w:r>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三</w:t>
      </w: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rPr>
        <w:t>单项工程设计图审查要点</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 w:val="0"/>
          <w:bCs w:val="0"/>
          <w:color w:val="auto"/>
          <w:sz w:val="32"/>
          <w:szCs w:val="24"/>
          <w:highlight w:val="none"/>
        </w:rPr>
      </w:pPr>
      <w:r>
        <w:rPr>
          <w:rFonts w:hint="eastAsia" w:ascii="Times New Roman" w:hAnsi="Times New Roman" w:eastAsia="仿宋_GB2312" w:cs="Times New Roman"/>
          <w:b w:val="0"/>
          <w:bCs w:val="0"/>
          <w:color w:val="auto"/>
          <w:sz w:val="32"/>
          <w:szCs w:val="24"/>
          <w:highlight w:val="none"/>
        </w:rPr>
        <w:t>1</w:t>
      </w:r>
      <w:r>
        <w:rPr>
          <w:rFonts w:hint="eastAsia" w:ascii="Times New Roman" w:hAnsi="Times New Roman" w:eastAsia="仿宋_GB2312" w:cs="Times New Roman"/>
          <w:b w:val="0"/>
          <w:bCs w:val="0"/>
          <w:color w:val="auto"/>
          <w:sz w:val="32"/>
          <w:szCs w:val="24"/>
          <w:highlight w:val="none"/>
          <w:lang w:val="en-US" w:eastAsia="zh-CN"/>
        </w:rPr>
        <w:t>.</w:t>
      </w:r>
      <w:r>
        <w:rPr>
          <w:rFonts w:hint="eastAsia" w:ascii="Times New Roman" w:hAnsi="Times New Roman" w:eastAsia="仿宋_GB2312" w:cs="Times New Roman"/>
          <w:b w:val="0"/>
          <w:bCs w:val="0"/>
          <w:color w:val="auto"/>
          <w:sz w:val="32"/>
          <w:szCs w:val="24"/>
          <w:highlight w:val="none"/>
        </w:rPr>
        <w:t>土地平整工程</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1</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水田整理、旱地整理等土地平整工程有平面布置图，统计工程量和设计参数表，并有相应的断面图；断面图绘制规范。</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2</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修筑田坎</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埂</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在图中标注具体位置并编号，土坎</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埂</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高度、石坎</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埂</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高度符合要求。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3</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设计田块宽度、长度符合要求，标注设计田面高程。</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4</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土地平整土方量计算合理。设计说明有设计参数、施工工艺、注意事项等内容。水田整理、旱地整理区域的单体图中应有地块平面图、剖面图（涵盖田块局部高程）、修整后的田面高程，以及土石方计算依据（比如采用方式：三角、方格网、等高线法等），杜绝按大区域计算挖填平衡的方量和直接估算挖填厚度，造成设计挖填方量与实际施工时产生巨大误差。</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5</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土地平整工程设计内容齐全，标注清楚、齐全、规范。</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6</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拆除田坎量原则上不低于新增耕地的30%（新增耕地须与工程措施、田坎材质相匹配，全面落实新增耕地来源和确保项目工程效果）。</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 w:val="0"/>
          <w:bCs w:val="0"/>
          <w:color w:val="auto"/>
          <w:sz w:val="32"/>
          <w:szCs w:val="24"/>
          <w:highlight w:val="none"/>
        </w:rPr>
      </w:pPr>
      <w:r>
        <w:rPr>
          <w:rFonts w:hint="eastAsia" w:ascii="Times New Roman" w:hAnsi="Times New Roman" w:eastAsia="仿宋_GB2312" w:cs="Times New Roman"/>
          <w:b w:val="0"/>
          <w:bCs w:val="0"/>
          <w:color w:val="auto"/>
          <w:sz w:val="32"/>
          <w:szCs w:val="24"/>
          <w:highlight w:val="none"/>
        </w:rPr>
        <w:t>2</w:t>
      </w:r>
      <w:r>
        <w:rPr>
          <w:rFonts w:hint="eastAsia" w:ascii="Times New Roman" w:hAnsi="Times New Roman" w:eastAsia="仿宋_GB2312" w:cs="Times New Roman"/>
          <w:b w:val="0"/>
          <w:bCs w:val="0"/>
          <w:color w:val="auto"/>
          <w:sz w:val="32"/>
          <w:szCs w:val="24"/>
          <w:highlight w:val="none"/>
          <w:lang w:val="en-US" w:eastAsia="zh-CN"/>
        </w:rPr>
        <w:t>.</w:t>
      </w:r>
      <w:r>
        <w:rPr>
          <w:rFonts w:hint="eastAsia" w:ascii="Times New Roman" w:hAnsi="Times New Roman" w:eastAsia="仿宋_GB2312" w:cs="Times New Roman"/>
          <w:b w:val="0"/>
          <w:bCs w:val="0"/>
          <w:color w:val="auto"/>
          <w:sz w:val="32"/>
          <w:szCs w:val="24"/>
          <w:highlight w:val="none"/>
        </w:rPr>
        <w:t>灌溉与排水工程</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1</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所有的工程布置内容均应有相应的平面布置图、横断面图，附工程量表和设计参数表，根据灌溉水源的类型、水位和水量状况等，灌溉取水方式合理。对于新建工程如渠道</w:t>
      </w:r>
      <w:r>
        <w:rPr>
          <w:rFonts w:hint="eastAsia" w:ascii="Times New Roman" w:hAnsi="Times New Roman" w:eastAsia="仿宋_GB2312" w:cs="Times New Roman"/>
          <w:color w:val="auto"/>
          <w:sz w:val="32"/>
          <w:szCs w:val="24"/>
          <w:highlight w:val="none"/>
          <w:lang w:val="en-US" w:eastAsia="zh-CN"/>
        </w:rPr>
        <w:t>应有</w:t>
      </w:r>
      <w:r>
        <w:rPr>
          <w:rFonts w:hint="eastAsia" w:ascii="Times New Roman" w:hAnsi="Times New Roman" w:eastAsia="仿宋_GB2312" w:cs="Times New Roman"/>
          <w:color w:val="auto"/>
          <w:sz w:val="32"/>
          <w:szCs w:val="24"/>
          <w:highlight w:val="none"/>
        </w:rPr>
        <w:t>纵断面图。</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2</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各不同类型的建（构）筑物有平、立、剖断面设计图；需要配筋的，有配筋图，并列表统计工程量。</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3</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工程设计型式、结构、材料与设计报告内容一致。</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4</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说明整治工程的现状、整治内容及相关设计参数。</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5</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灌溉与排水工程设计内容齐全，标注清楚、齐全、规范。</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 w:val="0"/>
          <w:bCs w:val="0"/>
          <w:color w:val="auto"/>
          <w:sz w:val="32"/>
          <w:szCs w:val="24"/>
          <w:highlight w:val="none"/>
        </w:rPr>
      </w:pPr>
      <w:r>
        <w:rPr>
          <w:rFonts w:hint="eastAsia" w:ascii="Times New Roman" w:hAnsi="Times New Roman" w:eastAsia="仿宋_GB2312" w:cs="Times New Roman"/>
          <w:b w:val="0"/>
          <w:bCs w:val="0"/>
          <w:color w:val="auto"/>
          <w:sz w:val="32"/>
          <w:szCs w:val="24"/>
          <w:highlight w:val="none"/>
        </w:rPr>
        <w:t>3</w:t>
      </w:r>
      <w:r>
        <w:rPr>
          <w:rFonts w:hint="eastAsia" w:ascii="Times New Roman" w:hAnsi="Times New Roman" w:eastAsia="仿宋_GB2312" w:cs="Times New Roman"/>
          <w:b w:val="0"/>
          <w:bCs w:val="0"/>
          <w:color w:val="auto"/>
          <w:sz w:val="32"/>
          <w:szCs w:val="24"/>
          <w:highlight w:val="none"/>
          <w:lang w:val="en-US" w:eastAsia="zh-CN"/>
        </w:rPr>
        <w:t>.</w:t>
      </w:r>
      <w:r>
        <w:rPr>
          <w:rFonts w:hint="eastAsia" w:ascii="Times New Roman" w:hAnsi="Times New Roman" w:eastAsia="仿宋_GB2312" w:cs="Times New Roman"/>
          <w:b w:val="0"/>
          <w:bCs w:val="0"/>
          <w:color w:val="auto"/>
          <w:sz w:val="32"/>
          <w:szCs w:val="24"/>
          <w:highlight w:val="none"/>
        </w:rPr>
        <w:t>田间道路工程</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1</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说明整治田间道现状、整治内容以及相关设计参数。</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2</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田间道工程设计满足基本通行和运输承载力要求，路基、垫层和路面宽度、厚度、材料等满足要求。原则上不提倡新建田间道路，确有必要，需说明理由。田间道路面宽度原则上不低于3m。</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3</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各田间道工程有平面布置图、横断面图。新建田间道应有纵断面图。</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4</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生产路工程设计满足生产要求，路基、路面宽度、材料满足要求。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US" w:eastAsia="zh-CN"/>
        </w:rPr>
        <w:t>5</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rPr>
        <w:t>田间道和生产路工程设计齐全，标注清楚、齐全、规范。</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 w:val="0"/>
          <w:bCs w:val="0"/>
          <w:color w:val="auto"/>
          <w:sz w:val="32"/>
          <w:szCs w:val="24"/>
          <w:highlight w:val="none"/>
        </w:rPr>
      </w:pPr>
      <w:r>
        <w:rPr>
          <w:rFonts w:hint="eastAsia" w:ascii="Times New Roman" w:hAnsi="Times New Roman" w:eastAsia="仿宋_GB2312" w:cs="Times New Roman"/>
          <w:b w:val="0"/>
          <w:bCs w:val="0"/>
          <w:color w:val="auto"/>
          <w:sz w:val="32"/>
          <w:szCs w:val="24"/>
          <w:highlight w:val="none"/>
        </w:rPr>
        <w:t>4</w:t>
      </w:r>
      <w:r>
        <w:rPr>
          <w:rFonts w:hint="eastAsia" w:ascii="Times New Roman" w:hAnsi="Times New Roman" w:eastAsia="仿宋_GB2312" w:cs="Times New Roman"/>
          <w:b w:val="0"/>
          <w:bCs w:val="0"/>
          <w:color w:val="auto"/>
          <w:sz w:val="32"/>
          <w:szCs w:val="24"/>
          <w:highlight w:val="none"/>
          <w:lang w:val="en-US" w:eastAsia="zh-CN"/>
        </w:rPr>
        <w:t>.</w:t>
      </w:r>
      <w:r>
        <w:rPr>
          <w:rFonts w:hint="eastAsia" w:ascii="Times New Roman" w:hAnsi="Times New Roman" w:eastAsia="仿宋_GB2312" w:cs="Times New Roman"/>
          <w:b w:val="0"/>
          <w:bCs w:val="0"/>
          <w:color w:val="auto"/>
          <w:sz w:val="32"/>
          <w:szCs w:val="24"/>
          <w:highlight w:val="none"/>
        </w:rPr>
        <w:t>农田防护与生态</w:t>
      </w:r>
      <w:r>
        <w:rPr>
          <w:rFonts w:hint="eastAsia" w:ascii="Times New Roman" w:hAnsi="Times New Roman" w:eastAsia="仿宋_GB2312" w:cs="Times New Roman"/>
          <w:b w:val="0"/>
          <w:bCs w:val="0"/>
          <w:color w:val="auto"/>
          <w:sz w:val="32"/>
          <w:szCs w:val="24"/>
          <w:highlight w:val="none"/>
          <w:lang w:val="en-US" w:eastAsia="zh-CN"/>
        </w:rPr>
        <w:t>环境</w:t>
      </w:r>
      <w:r>
        <w:rPr>
          <w:rFonts w:hint="eastAsia" w:ascii="Times New Roman" w:hAnsi="Times New Roman" w:eastAsia="仿宋_GB2312" w:cs="Times New Roman"/>
          <w:b w:val="0"/>
          <w:bCs w:val="0"/>
          <w:color w:val="auto"/>
          <w:sz w:val="32"/>
          <w:szCs w:val="24"/>
          <w:highlight w:val="none"/>
        </w:rPr>
        <w:t>修复工程</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农田防护林、坡面治理工程、沟道治理工程、农田生态环境修复工程设计内容齐全，设计图符合要求，标注清楚、齐全、规范。</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 w:val="0"/>
          <w:bCs w:val="0"/>
          <w:color w:val="auto"/>
          <w:sz w:val="32"/>
          <w:szCs w:val="24"/>
          <w:highlight w:val="none"/>
        </w:rPr>
      </w:pPr>
      <w:r>
        <w:rPr>
          <w:rFonts w:hint="eastAsia" w:ascii="Times New Roman" w:hAnsi="Times New Roman" w:eastAsia="仿宋_GB2312" w:cs="Times New Roman"/>
          <w:b w:val="0"/>
          <w:bCs w:val="0"/>
          <w:color w:val="auto"/>
          <w:sz w:val="32"/>
          <w:szCs w:val="24"/>
          <w:highlight w:val="none"/>
        </w:rPr>
        <w:t>5</w:t>
      </w:r>
      <w:r>
        <w:rPr>
          <w:rFonts w:hint="eastAsia" w:ascii="Times New Roman" w:hAnsi="Times New Roman" w:eastAsia="仿宋_GB2312" w:cs="Times New Roman"/>
          <w:b w:val="0"/>
          <w:bCs w:val="0"/>
          <w:color w:val="auto"/>
          <w:sz w:val="32"/>
          <w:szCs w:val="24"/>
          <w:highlight w:val="none"/>
          <w:lang w:val="en-US" w:eastAsia="zh-CN"/>
        </w:rPr>
        <w:t>.</w:t>
      </w:r>
      <w:r>
        <w:rPr>
          <w:rFonts w:hint="eastAsia" w:ascii="Times New Roman" w:hAnsi="Times New Roman" w:eastAsia="仿宋_GB2312" w:cs="Times New Roman"/>
          <w:b w:val="0"/>
          <w:bCs w:val="0"/>
          <w:color w:val="auto"/>
          <w:sz w:val="32"/>
          <w:szCs w:val="24"/>
          <w:highlight w:val="none"/>
        </w:rPr>
        <w:t>其他工程</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项目公示牌、单位工程标识牌、警示标志的布置、设计合理，并有工程量表。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 w:val="0"/>
          <w:bCs w:val="0"/>
          <w:color w:val="auto"/>
          <w:sz w:val="32"/>
          <w:szCs w:val="24"/>
          <w:highlight w:val="none"/>
        </w:rPr>
      </w:pPr>
      <w:r>
        <w:rPr>
          <w:rFonts w:hint="eastAsia" w:ascii="Times New Roman" w:hAnsi="Times New Roman" w:eastAsia="仿宋_GB2312" w:cs="Times New Roman"/>
          <w:b w:val="0"/>
          <w:bCs w:val="0"/>
          <w:color w:val="auto"/>
          <w:sz w:val="32"/>
          <w:szCs w:val="24"/>
          <w:highlight w:val="none"/>
        </w:rPr>
        <w:t>6</w:t>
      </w:r>
      <w:r>
        <w:rPr>
          <w:rFonts w:hint="eastAsia" w:ascii="Times New Roman" w:hAnsi="Times New Roman" w:eastAsia="仿宋_GB2312" w:cs="Times New Roman"/>
          <w:b w:val="0"/>
          <w:bCs w:val="0"/>
          <w:color w:val="auto"/>
          <w:sz w:val="32"/>
          <w:szCs w:val="24"/>
          <w:highlight w:val="none"/>
          <w:lang w:val="en-US" w:eastAsia="zh-CN"/>
        </w:rPr>
        <w:t>.</w:t>
      </w:r>
      <w:r>
        <w:rPr>
          <w:rFonts w:hint="eastAsia" w:ascii="Times New Roman" w:hAnsi="Times New Roman" w:eastAsia="仿宋_GB2312" w:cs="Times New Roman"/>
          <w:b w:val="0"/>
          <w:bCs w:val="0"/>
          <w:color w:val="auto"/>
          <w:sz w:val="32"/>
          <w:szCs w:val="24"/>
          <w:highlight w:val="none"/>
        </w:rPr>
        <w:t>工程量</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1</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每个项目工程内容重点各不</w:t>
      </w:r>
      <w:r>
        <w:rPr>
          <w:rFonts w:hint="eastAsia" w:ascii="Times New Roman" w:hAnsi="Times New Roman" w:eastAsia="仿宋_GB2312" w:cs="Times New Roman"/>
          <w:color w:val="auto"/>
          <w:sz w:val="32"/>
          <w:szCs w:val="24"/>
          <w:highlight w:val="none"/>
          <w:lang w:val="en-US" w:eastAsia="zh-CN"/>
        </w:rPr>
        <w:t>相</w:t>
      </w:r>
      <w:r>
        <w:rPr>
          <w:rFonts w:hint="eastAsia" w:ascii="Times New Roman" w:hAnsi="Times New Roman" w:eastAsia="仿宋_GB2312" w:cs="Times New Roman"/>
          <w:color w:val="auto"/>
          <w:sz w:val="32"/>
          <w:szCs w:val="24"/>
          <w:highlight w:val="none"/>
          <w:lang w:val="en-GB"/>
        </w:rPr>
        <w:t>同，审查时应</w:t>
      </w:r>
      <w:r>
        <w:rPr>
          <w:rFonts w:hint="eastAsia" w:ascii="Times New Roman" w:hAnsi="Times New Roman" w:eastAsia="仿宋_GB2312" w:cs="Times New Roman"/>
          <w:color w:val="auto"/>
          <w:sz w:val="32"/>
          <w:szCs w:val="24"/>
          <w:highlight w:val="none"/>
          <w:lang w:val="en-US" w:eastAsia="zh-CN"/>
        </w:rPr>
        <w:t>以</w:t>
      </w:r>
      <w:r>
        <w:rPr>
          <w:rFonts w:hint="eastAsia" w:ascii="Times New Roman" w:hAnsi="Times New Roman" w:eastAsia="仿宋_GB2312" w:cs="Times New Roman"/>
          <w:color w:val="auto"/>
          <w:sz w:val="32"/>
          <w:szCs w:val="24"/>
          <w:highlight w:val="none"/>
          <w:lang w:val="en-GB"/>
        </w:rPr>
        <w:t>量大面广的内容作为重点。</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2</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各项工程量计算和分类合理。对不合理部分，提出相应计算方法，并比较其对结果的影响程度（绝对量和相对比例）。</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3</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无遗漏工程量类别；无重复计算的工程量项目。</w:t>
      </w:r>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四</w:t>
      </w: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rPr>
        <w:t>规划设计报告审查要点</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1</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lang w:val="en-GB"/>
        </w:rPr>
        <w:t>项目规划设计方案与相关规划的衔接程度、说明相关规划对项目规划设计方案的影响。</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2</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lang w:val="en-GB"/>
        </w:rPr>
        <w:t>基本指标：项目建设规模（地类、坡度、自然保护地、生态保护红线、城镇开发边界等）、新增耕地面积等基本指标的合理性，基本指标图、文、表内容一致。</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3</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lang w:val="en-GB"/>
        </w:rPr>
        <w:t>基础分析：项目区自然资源分析符合实际、分析明确；对项目区基础设施条件分析全面、合理；新增耕地来源分析正确；对项目区当地建筑材料进行分析。</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4</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lang w:val="en-GB"/>
        </w:rPr>
        <w:t>土地平整工程</w:t>
      </w:r>
      <w:r>
        <w:rPr>
          <w:rFonts w:hint="eastAsia" w:ascii="Times New Roman" w:hAnsi="Times New Roman" w:eastAsia="仿宋_GB2312" w:cs="Times New Roman"/>
          <w:color w:val="auto"/>
          <w:sz w:val="32"/>
          <w:szCs w:val="24"/>
          <w:highlight w:val="none"/>
          <w:lang w:val="en-US" w:eastAsia="zh-CN"/>
        </w:rPr>
        <w:t>中</w:t>
      </w:r>
      <w:r>
        <w:rPr>
          <w:rFonts w:hint="eastAsia" w:ascii="Times New Roman" w:hAnsi="Times New Roman" w:eastAsia="仿宋_GB2312" w:cs="Times New Roman"/>
          <w:color w:val="auto"/>
          <w:sz w:val="32"/>
          <w:szCs w:val="24"/>
          <w:highlight w:val="none"/>
          <w:lang w:val="en-GB"/>
        </w:rPr>
        <w:t>水田、旱地、囤水田设计的合理性，区位选择、台位设置、材料选择、施工工艺；每类田块有土方挖填量，并附工程量汇总表。杜绝整形田坎只采取削坡的工程措施，将原来的缓坡削成陡坡以达到降低田坎宽度的目的，未改变田坎的形状、材质。</w:t>
      </w:r>
    </w:p>
    <w:p>
      <w:pPr>
        <w:pageBreakBefore w:val="0"/>
        <w:widowControl w:val="0"/>
        <w:tabs>
          <w:tab w:val="left" w:pos="6782"/>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lang w:val="en-GB"/>
        </w:rPr>
        <w:t>5</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灌溉与排水工程有水力计算与结构计算；计算公式、计算参数、计算方法和过程合理，计算结果准确；山平塘等工程</w:t>
      </w:r>
      <w:r>
        <w:rPr>
          <w:rFonts w:hint="eastAsia" w:ascii="Times New Roman" w:hAnsi="Times New Roman" w:eastAsia="仿宋_GB2312" w:cs="Times New Roman"/>
          <w:color w:val="auto"/>
          <w:sz w:val="32"/>
          <w:szCs w:val="24"/>
          <w:highlight w:val="none"/>
          <w:lang w:val="en-US" w:eastAsia="zh-CN"/>
        </w:rPr>
        <w:t>结合</w:t>
      </w:r>
      <w:r>
        <w:rPr>
          <w:rFonts w:hint="eastAsia" w:ascii="Times New Roman" w:hAnsi="Times New Roman" w:eastAsia="仿宋_GB2312" w:cs="Times New Roman"/>
          <w:color w:val="auto"/>
          <w:sz w:val="32"/>
          <w:szCs w:val="24"/>
          <w:highlight w:val="none"/>
        </w:rPr>
        <w:t>现状分析提出整治工程内容。</w:t>
      </w:r>
    </w:p>
    <w:p>
      <w:pPr>
        <w:pageBreakBefore w:val="0"/>
        <w:widowControl w:val="0"/>
        <w:tabs>
          <w:tab w:val="left" w:pos="6782"/>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6</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rPr>
        <w:t>田间道路工程描述现状，详细说明整治内容。田间道路，生产道设计方案，错车道设置合理，有工程量统计表。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kern w:val="0"/>
          <w:sz w:val="32"/>
          <w:szCs w:val="24"/>
          <w:highlight w:val="none"/>
          <w:lang w:val="en-GB"/>
        </w:rPr>
      </w:pPr>
      <w:r>
        <w:rPr>
          <w:rFonts w:hint="eastAsia" w:ascii="Times New Roman" w:hAnsi="Times New Roman" w:eastAsia="仿宋_GB2312" w:cs="Times New Roman"/>
          <w:color w:val="auto"/>
          <w:sz w:val="32"/>
          <w:szCs w:val="24"/>
          <w:highlight w:val="none"/>
        </w:rPr>
        <w:t>7</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lang w:val="en-GB"/>
        </w:rPr>
        <w:t>其他工程布置合理、必要，有工程量统计表。</w:t>
      </w:r>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五</w:t>
      </w: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rPr>
        <w:t>预算编制审查要点</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1</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lang w:val="en-GB"/>
        </w:rPr>
        <w:t>合规性审查：定额标准选用正确、编制规范、内容全面，有项目预算编制说明、项目预算表格、材料</w:t>
      </w:r>
      <w:r>
        <w:rPr>
          <w:rFonts w:hint="eastAsia" w:ascii="Times New Roman" w:hAnsi="Times New Roman" w:eastAsia="仿宋_GB2312" w:cs="Times New Roman"/>
          <w:color w:val="auto"/>
          <w:sz w:val="32"/>
          <w:szCs w:val="24"/>
          <w:highlight w:val="none"/>
          <w:lang w:val="en-US" w:eastAsia="zh-CN"/>
        </w:rPr>
        <w:t>和</w:t>
      </w:r>
      <w:r>
        <w:rPr>
          <w:rFonts w:hint="eastAsia" w:ascii="Times New Roman" w:hAnsi="Times New Roman" w:eastAsia="仿宋_GB2312" w:cs="Times New Roman"/>
          <w:color w:val="auto"/>
          <w:sz w:val="32"/>
          <w:szCs w:val="24"/>
          <w:highlight w:val="none"/>
          <w:lang w:val="en-GB"/>
        </w:rPr>
        <w:t>设备费价格证明材料、项目其他预算附件材料；项目投资范围（无大规模修建堡坎、挡土墙，大型岸坡防护工程，中大型桥梁工程等）和投资计划合理。</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2</w:t>
      </w:r>
      <w:r>
        <w:rPr>
          <w:rFonts w:hint="eastAsia" w:ascii="Times New Roman" w:hAnsi="Times New Roman" w:eastAsia="仿宋_GB2312" w:cs="Times New Roman"/>
          <w:color w:val="auto"/>
          <w:sz w:val="32"/>
          <w:szCs w:val="24"/>
          <w:highlight w:val="none"/>
          <w:lang w:val="en-US" w:eastAsia="zh-CN"/>
        </w:rPr>
        <w:t>.</w:t>
      </w:r>
      <w:r>
        <w:rPr>
          <w:rFonts w:hint="eastAsia" w:ascii="Times New Roman" w:hAnsi="Times New Roman" w:eastAsia="仿宋_GB2312" w:cs="Times New Roman"/>
          <w:color w:val="auto"/>
          <w:sz w:val="32"/>
          <w:szCs w:val="24"/>
          <w:highlight w:val="none"/>
          <w:lang w:val="en-GB"/>
        </w:rPr>
        <w:t>技术性审查：基础单价、分项工程量计算、定额子目套用、费用计取及预算编制准确性等。</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基础单价审查，包括①人工单价审查，按照人工</w:t>
      </w:r>
      <w:r>
        <w:rPr>
          <w:rFonts w:hint="eastAsia" w:ascii="Times New Roman" w:hAnsi="Times New Roman" w:eastAsia="仿宋_GB2312" w:cs="Times New Roman"/>
          <w:color w:val="auto"/>
          <w:sz w:val="32"/>
          <w:szCs w:val="24"/>
          <w:highlight w:val="none"/>
          <w:lang w:val="en-US" w:eastAsia="zh-CN"/>
        </w:rPr>
        <w:t>工资预算定额</w:t>
      </w:r>
      <w:r>
        <w:rPr>
          <w:rFonts w:hint="eastAsia" w:ascii="Times New Roman" w:hAnsi="Times New Roman" w:eastAsia="仿宋_GB2312" w:cs="Times New Roman"/>
          <w:color w:val="auto"/>
          <w:sz w:val="32"/>
          <w:szCs w:val="24"/>
          <w:highlight w:val="none"/>
          <w:lang w:val="en-GB"/>
        </w:rPr>
        <w:t>单价标准计算。②材料预算价格审查，即</w:t>
      </w:r>
      <w:r>
        <w:rPr>
          <w:rFonts w:hint="eastAsia" w:ascii="Times New Roman" w:hAnsi="Times New Roman" w:eastAsia="仿宋_GB2312" w:cs="Times New Roman"/>
          <w:color w:val="auto"/>
          <w:sz w:val="32"/>
          <w:szCs w:val="24"/>
          <w:highlight w:val="none"/>
          <w:lang w:val="en-US" w:eastAsia="zh-CN"/>
        </w:rPr>
        <w:t>对</w:t>
      </w:r>
      <w:r>
        <w:rPr>
          <w:rFonts w:hint="eastAsia" w:ascii="Times New Roman" w:hAnsi="Times New Roman" w:eastAsia="仿宋_GB2312" w:cs="Times New Roman"/>
          <w:color w:val="auto"/>
          <w:sz w:val="32"/>
          <w:szCs w:val="24"/>
          <w:highlight w:val="none"/>
          <w:lang w:val="en-GB"/>
        </w:rPr>
        <w:t>参考造价信息或物价部门认证的材料价格来确定材料预算价格的，价格依据为项目编制年度最近季度的材料预算价格</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对材料预算价格</w:t>
      </w:r>
      <w:r>
        <w:rPr>
          <w:rFonts w:hint="eastAsia" w:ascii="Times New Roman" w:hAnsi="Times New Roman" w:eastAsia="仿宋_GB2312" w:cs="Times New Roman"/>
          <w:color w:val="auto"/>
          <w:sz w:val="32"/>
          <w:szCs w:val="24"/>
          <w:highlight w:val="none"/>
          <w:lang w:val="en-US" w:eastAsia="zh-CN"/>
        </w:rPr>
        <w:t>通过</w:t>
      </w:r>
      <w:r>
        <w:rPr>
          <w:rFonts w:hint="eastAsia" w:ascii="Times New Roman" w:hAnsi="Times New Roman" w:eastAsia="仿宋_GB2312" w:cs="Times New Roman"/>
          <w:color w:val="auto"/>
          <w:sz w:val="32"/>
          <w:szCs w:val="24"/>
          <w:highlight w:val="none"/>
          <w:lang w:val="en-GB"/>
        </w:rPr>
        <w:t>计算的，材料就近取材，材料原价确定合理，运杂费、采保费等费用计取依据的出处合理</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对超出造价信息需增加计算运输费用的，其依据充分，计算正确</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对超过造价信息部分计取税金后再列入相应部分的，不应参与工程相关取费。</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分项工程量审查：单位工程、分部工程量与设计工程量一致，核实其工程量计算正确；工程量确定符合项目区实际情况；工程量分类计算合理；对新建、整治的工程分别编制预算。</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定额子目录套用合理性审查：各子目的套用合理，各子目实物量消耗合理，无多套、漏套。</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各项取费审查：对照《四川省土地开发整理项目预算定额标准》（川财投〔2012〕139号），措施费、间接费、利润、税金、前期工作费、业主管理费、工程监理费、竣工验收费等各项取费准确。</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预算计算准确性审查：各分项工程的计算过程、合计及累计正确；表间、预算说明及规划文本数据一致。</w:t>
      </w:r>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六</w:t>
      </w: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rPr>
        <w:t>附件审查要点</w:t>
      </w:r>
    </w:p>
    <w:p>
      <w:pPr>
        <w:pageBreakBefore w:val="0"/>
        <w:widowControl w:val="0"/>
        <w:tabs>
          <w:tab w:val="left" w:pos="6782"/>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hint="eastAsia" w:ascii="Times New Roman" w:hAnsi="Times New Roman" w:eastAsia="仿宋_GB2312" w:cs="Times New Roman"/>
          <w:color w:val="auto"/>
          <w:sz w:val="32"/>
          <w:szCs w:val="24"/>
          <w:highlight w:val="none"/>
        </w:rPr>
        <w:t>规划设计成果附件齐全；专家评审意见、影像资料等格式符合要求。</w:t>
      </w:r>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1"/>
        <w:rPr>
          <w:rFonts w:hint="eastAsia" w:ascii="黑体" w:hAnsi="黑体" w:eastAsia="黑体" w:cs="黑体"/>
          <w:bCs/>
          <w:color w:val="auto"/>
          <w:sz w:val="32"/>
          <w:szCs w:val="28"/>
          <w:highlight w:val="none"/>
          <w:lang w:val="en-GB"/>
        </w:rPr>
      </w:pPr>
      <w:bookmarkStart w:id="11" w:name="_Toc19356"/>
      <w:bookmarkStart w:id="12" w:name="_Toc11616"/>
      <w:bookmarkStart w:id="13" w:name="_Toc23598"/>
      <w:bookmarkStart w:id="14" w:name="_Toc15956"/>
      <w:bookmarkStart w:id="15" w:name="_Toc31596"/>
      <w:bookmarkStart w:id="16" w:name="_Toc25909"/>
      <w:bookmarkStart w:id="17" w:name="_Toc16009"/>
      <w:bookmarkStart w:id="18" w:name="_Toc353805361"/>
      <w:bookmarkStart w:id="19" w:name="_Toc16838"/>
      <w:bookmarkStart w:id="20" w:name="_Toc9740"/>
      <w:bookmarkStart w:id="21" w:name="_Toc9513"/>
      <w:r>
        <w:rPr>
          <w:rFonts w:hint="eastAsia" w:ascii="黑体" w:hAnsi="黑体" w:eastAsia="黑体" w:cs="黑体"/>
          <w:bCs/>
          <w:color w:val="auto"/>
          <w:sz w:val="32"/>
          <w:szCs w:val="28"/>
          <w:highlight w:val="none"/>
          <w:lang w:val="en-US" w:eastAsia="zh-CN"/>
        </w:rPr>
        <w:t>二、</w:t>
      </w:r>
      <w:r>
        <w:rPr>
          <w:rFonts w:hint="eastAsia" w:ascii="黑体" w:hAnsi="黑体" w:eastAsia="黑体" w:cs="黑体"/>
          <w:bCs/>
          <w:color w:val="auto"/>
          <w:sz w:val="32"/>
          <w:szCs w:val="28"/>
          <w:highlight w:val="none"/>
          <w:lang w:val="en-GB"/>
        </w:rPr>
        <w:t>审查结论</w:t>
      </w:r>
      <w:bookmarkEnd w:id="11"/>
      <w:bookmarkEnd w:id="12"/>
      <w:bookmarkEnd w:id="13"/>
      <w:bookmarkEnd w:id="14"/>
      <w:bookmarkEnd w:id="15"/>
      <w:bookmarkEnd w:id="16"/>
      <w:bookmarkEnd w:id="17"/>
      <w:bookmarkEnd w:id="18"/>
      <w:bookmarkEnd w:id="19"/>
      <w:bookmarkEnd w:id="20"/>
      <w:bookmarkEnd w:id="21"/>
    </w:p>
    <w:p>
      <w:pPr>
        <w:keepNext/>
        <w:keepLines/>
        <w:pageBreakBefore w:val="0"/>
        <w:widowControl w:val="0"/>
        <w:tabs>
          <w:tab w:val="left" w:pos="6782"/>
        </w:tabs>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一</w:t>
      </w: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rPr>
        <w:t>审查合格</w:t>
      </w:r>
    </w:p>
    <w:p>
      <w:pPr>
        <w:pageBreakBefore w:val="0"/>
        <w:widowControl w:val="0"/>
        <w:tabs>
          <w:tab w:val="left" w:pos="6782"/>
        </w:tabs>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rPr>
      </w:pPr>
      <w:r>
        <w:rPr>
          <w:rFonts w:ascii="Times New Roman" w:hAnsi="Times New Roman" w:eastAsia="仿宋_GB2312" w:cs="Times New Roman"/>
          <w:color w:val="auto"/>
          <w:sz w:val="32"/>
          <w:szCs w:val="24"/>
          <w:highlight w:val="none"/>
        </w:rPr>
        <w:t>符合</w:t>
      </w:r>
      <w:r>
        <w:rPr>
          <w:rFonts w:hint="eastAsia" w:ascii="Times New Roman" w:hAnsi="Times New Roman" w:eastAsia="仿宋_GB2312" w:cs="Times New Roman"/>
          <w:color w:val="auto"/>
          <w:sz w:val="32"/>
          <w:szCs w:val="24"/>
          <w:highlight w:val="none"/>
        </w:rPr>
        <w:t>审查要点</w:t>
      </w:r>
      <w:r>
        <w:rPr>
          <w:rFonts w:ascii="Times New Roman" w:hAnsi="Times New Roman" w:eastAsia="仿宋_GB2312" w:cs="Times New Roman"/>
          <w:color w:val="auto"/>
          <w:sz w:val="32"/>
          <w:szCs w:val="24"/>
          <w:highlight w:val="none"/>
        </w:rPr>
        <w:t>要求的</w:t>
      </w:r>
      <w:r>
        <w:rPr>
          <w:rFonts w:hint="eastAsia" w:ascii="Times New Roman" w:hAnsi="Times New Roman" w:eastAsia="仿宋_GB2312" w:cs="Times New Roman"/>
          <w:color w:val="auto"/>
          <w:sz w:val="32"/>
          <w:szCs w:val="24"/>
          <w:highlight w:val="none"/>
        </w:rPr>
        <w:t>规划</w:t>
      </w:r>
      <w:r>
        <w:rPr>
          <w:rFonts w:ascii="Times New Roman" w:hAnsi="Times New Roman" w:eastAsia="仿宋_GB2312" w:cs="Times New Roman"/>
          <w:color w:val="auto"/>
          <w:sz w:val="32"/>
          <w:szCs w:val="24"/>
          <w:highlight w:val="none"/>
        </w:rPr>
        <w:t>设计</w:t>
      </w:r>
      <w:r>
        <w:rPr>
          <w:rFonts w:hint="eastAsia" w:ascii="Times New Roman" w:hAnsi="Times New Roman" w:eastAsia="仿宋_GB2312" w:cs="Times New Roman"/>
          <w:color w:val="auto"/>
          <w:sz w:val="32"/>
          <w:szCs w:val="24"/>
          <w:highlight w:val="none"/>
          <w:lang w:val="en-US" w:eastAsia="zh-CN"/>
        </w:rPr>
        <w:t>成果</w:t>
      </w:r>
      <w:r>
        <w:rPr>
          <w:rFonts w:ascii="Times New Roman" w:hAnsi="Times New Roman" w:eastAsia="仿宋_GB2312" w:cs="Times New Roman"/>
          <w:color w:val="auto"/>
          <w:sz w:val="32"/>
          <w:szCs w:val="24"/>
          <w:highlight w:val="none"/>
        </w:rPr>
        <w:t>，</w:t>
      </w:r>
      <w:r>
        <w:rPr>
          <w:rFonts w:hint="eastAsia" w:ascii="Times New Roman" w:hAnsi="Times New Roman" w:eastAsia="仿宋_GB2312" w:cs="Times New Roman"/>
          <w:color w:val="auto"/>
          <w:sz w:val="32"/>
          <w:szCs w:val="24"/>
          <w:highlight w:val="none"/>
          <w:lang w:val="en-US" w:eastAsia="zh-CN"/>
        </w:rPr>
        <w:t>视为</w:t>
      </w:r>
      <w:r>
        <w:rPr>
          <w:rFonts w:ascii="Times New Roman" w:hAnsi="Times New Roman" w:eastAsia="仿宋_GB2312" w:cs="Times New Roman"/>
          <w:color w:val="auto"/>
          <w:sz w:val="32"/>
          <w:szCs w:val="24"/>
          <w:highlight w:val="none"/>
        </w:rPr>
        <w:t>审查合格</w:t>
      </w:r>
      <w:r>
        <w:rPr>
          <w:rFonts w:hint="eastAsia" w:ascii="Times New Roman" w:hAnsi="Times New Roman" w:eastAsia="仿宋_GB2312" w:cs="Times New Roman"/>
          <w:color w:val="auto"/>
          <w:sz w:val="32"/>
          <w:szCs w:val="24"/>
          <w:highlight w:val="none"/>
        </w:rPr>
        <w:t>，设计单位按照修改意见完善成果资料。</w:t>
      </w:r>
    </w:p>
    <w:p>
      <w:pPr>
        <w:keepNext/>
        <w:keepLines/>
        <w:pageBreakBefore w:val="0"/>
        <w:widowControl w:val="0"/>
        <w:tabs>
          <w:tab w:val="left" w:pos="6782"/>
        </w:tabs>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楷体_GB2312" w:hAnsi="楷体_GB2312" w:eastAsia="楷体_GB2312" w:cs="楷体_GB2312"/>
          <w:bCs/>
          <w:color w:val="auto"/>
          <w:sz w:val="32"/>
          <w:szCs w:val="32"/>
          <w:highlight w:val="none"/>
          <w:lang w:eastAsia="zh-CN"/>
        </w:rPr>
      </w:pPr>
      <w:r>
        <w:rPr>
          <w:rFonts w:hint="eastAsia" w:ascii="楷体_GB2312" w:hAnsi="楷体_GB2312" w:eastAsia="楷体_GB2312" w:cs="楷体_GB2312"/>
          <w:bCs/>
          <w:color w:val="auto"/>
          <w:sz w:val="32"/>
          <w:szCs w:val="32"/>
          <w:highlight w:val="none"/>
          <w:lang w:eastAsia="zh-CN"/>
        </w:rPr>
        <w:t>（</w:t>
      </w:r>
      <w:r>
        <w:rPr>
          <w:rFonts w:hint="eastAsia" w:ascii="楷体_GB2312" w:hAnsi="楷体_GB2312" w:eastAsia="楷体_GB2312" w:cs="楷体_GB2312"/>
          <w:bCs/>
          <w:color w:val="auto"/>
          <w:sz w:val="32"/>
          <w:szCs w:val="32"/>
          <w:highlight w:val="none"/>
          <w:lang w:val="en-US" w:eastAsia="zh-CN"/>
        </w:rPr>
        <w:t>二</w:t>
      </w:r>
      <w:r>
        <w:rPr>
          <w:rFonts w:hint="eastAsia" w:ascii="楷体_GB2312" w:hAnsi="楷体_GB2312" w:eastAsia="楷体_GB2312" w:cs="楷体_GB2312"/>
          <w:bCs/>
          <w:color w:val="auto"/>
          <w:sz w:val="32"/>
          <w:szCs w:val="32"/>
          <w:highlight w:val="none"/>
          <w:lang w:eastAsia="zh-CN"/>
        </w:rPr>
        <w:t>）审查不合格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1</w:t>
      </w:r>
      <w:r>
        <w:rPr>
          <w:rFonts w:hint="eastAsia" w:ascii="Times New Roman" w:hAnsi="Times New Roman" w:eastAsia="仿宋_GB2312" w:cs="Times New Roman"/>
          <w:color w:val="auto"/>
          <w:sz w:val="32"/>
          <w:szCs w:val="24"/>
          <w:highlight w:val="none"/>
          <w:lang w:val="en-US" w:eastAsia="zh-CN"/>
        </w:rPr>
        <w:t>.</w:t>
      </w:r>
      <w:r>
        <w:rPr>
          <w:rFonts w:ascii="Times New Roman" w:hAnsi="Times New Roman" w:eastAsia="仿宋_GB2312" w:cs="Times New Roman"/>
          <w:color w:val="auto"/>
          <w:sz w:val="32"/>
          <w:szCs w:val="24"/>
          <w:highlight w:val="none"/>
          <w:lang w:val="en-GB"/>
        </w:rPr>
        <w:t>对存在以下几种情况之一的</w:t>
      </w:r>
      <w:r>
        <w:rPr>
          <w:rFonts w:hint="eastAsia" w:ascii="Times New Roman" w:hAnsi="Times New Roman" w:eastAsia="仿宋_GB2312" w:cs="Times New Roman"/>
          <w:color w:val="auto"/>
          <w:sz w:val="32"/>
          <w:szCs w:val="24"/>
          <w:highlight w:val="none"/>
        </w:rPr>
        <w:t>规划</w:t>
      </w:r>
      <w:r>
        <w:rPr>
          <w:rFonts w:ascii="Times New Roman" w:hAnsi="Times New Roman" w:eastAsia="仿宋_GB2312" w:cs="Times New Roman"/>
          <w:color w:val="auto"/>
          <w:sz w:val="32"/>
          <w:szCs w:val="24"/>
          <w:highlight w:val="none"/>
        </w:rPr>
        <w:t>设计</w:t>
      </w:r>
      <w:r>
        <w:rPr>
          <w:rFonts w:hint="eastAsia" w:ascii="Times New Roman" w:hAnsi="Times New Roman" w:eastAsia="仿宋_GB2312" w:cs="Times New Roman"/>
          <w:color w:val="auto"/>
          <w:sz w:val="32"/>
          <w:szCs w:val="24"/>
          <w:highlight w:val="none"/>
          <w:lang w:val="en-US" w:eastAsia="zh-CN"/>
        </w:rPr>
        <w:t>成果</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视为审查不合格</w:t>
      </w:r>
      <w:r>
        <w:rPr>
          <w:rFonts w:ascii="Times New Roman" w:hAnsi="Times New Roman" w:eastAsia="仿宋_GB2312" w:cs="Times New Roman"/>
          <w:color w:val="auto"/>
          <w:sz w:val="32"/>
          <w:szCs w:val="24"/>
          <w:highlight w:val="none"/>
          <w:lang w:val="en-GB"/>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1</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规划设计成果资料不齐全，文本、图件未</w:t>
      </w:r>
      <w:r>
        <w:rPr>
          <w:rFonts w:hint="eastAsia" w:ascii="Times New Roman" w:hAnsi="Times New Roman" w:eastAsia="仿宋_GB2312" w:cs="Times New Roman"/>
          <w:color w:val="auto"/>
          <w:sz w:val="32"/>
          <w:szCs w:val="24"/>
          <w:highlight w:val="none"/>
          <w:lang w:val="en-US" w:eastAsia="zh-CN"/>
        </w:rPr>
        <w:t>按要求</w:t>
      </w:r>
      <w:r>
        <w:rPr>
          <w:rFonts w:hint="eastAsia" w:ascii="Times New Roman" w:hAnsi="Times New Roman" w:eastAsia="仿宋_GB2312" w:cs="Times New Roman"/>
          <w:color w:val="auto"/>
          <w:sz w:val="32"/>
          <w:szCs w:val="24"/>
          <w:highlight w:val="none"/>
          <w:lang w:val="en-GB"/>
        </w:rPr>
        <w:t>签字盖章。</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2</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文本编写内容</w:t>
      </w:r>
      <w:r>
        <w:rPr>
          <w:rFonts w:hint="eastAsia" w:ascii="Times New Roman" w:hAnsi="Times New Roman" w:eastAsia="仿宋_GB2312" w:cs="Times New Roman"/>
          <w:color w:val="auto"/>
          <w:sz w:val="32"/>
          <w:szCs w:val="24"/>
          <w:highlight w:val="none"/>
          <w:lang w:val="en-US" w:eastAsia="zh-CN"/>
        </w:rPr>
        <w:t>不符合</w:t>
      </w:r>
      <w:r>
        <w:rPr>
          <w:rFonts w:hint="eastAsia" w:ascii="Times New Roman" w:hAnsi="Times New Roman" w:eastAsia="仿宋_GB2312" w:cs="Times New Roman"/>
          <w:color w:val="auto"/>
          <w:sz w:val="32"/>
          <w:szCs w:val="24"/>
          <w:highlight w:val="none"/>
          <w:lang w:val="en-GB"/>
        </w:rPr>
        <w:t>《</w:t>
      </w:r>
      <w:r>
        <w:rPr>
          <w:rFonts w:hint="eastAsia" w:ascii="仿宋_GB2312" w:hAnsi="Arial" w:eastAsia="仿宋_GB2312" w:cs="Arial"/>
          <w:sz w:val="32"/>
          <w:szCs w:val="32"/>
          <w:lang w:val="en-US" w:eastAsia="zh-CN"/>
        </w:rPr>
        <w:t>四川省土地整治项目规划设计导则</w:t>
      </w:r>
      <w:r>
        <w:rPr>
          <w:rFonts w:hint="eastAsia" w:ascii="Times New Roman" w:hAnsi="Times New Roman" w:eastAsia="仿宋_GB2312" w:cs="Times New Roman"/>
          <w:color w:val="auto"/>
          <w:sz w:val="32"/>
          <w:szCs w:val="24"/>
          <w:highlight w:val="none"/>
          <w:lang w:val="en-GB"/>
        </w:rPr>
        <w:t>》要求，并出现重大错误，未认真审查校核的。</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3</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建设规模</w:t>
      </w:r>
      <w:r>
        <w:rPr>
          <w:rFonts w:hint="eastAsia" w:ascii="Times New Roman" w:hAnsi="Times New Roman" w:eastAsia="仿宋_GB2312" w:cs="Times New Roman"/>
          <w:color w:val="auto"/>
          <w:sz w:val="32"/>
          <w:szCs w:val="24"/>
          <w:highlight w:val="none"/>
          <w:lang w:val="en-US" w:eastAsia="zh-CN"/>
        </w:rPr>
        <w:t>涉及</w:t>
      </w:r>
      <w:r>
        <w:rPr>
          <w:rFonts w:hint="eastAsia" w:ascii="Times New Roman" w:hAnsi="Times New Roman" w:eastAsia="仿宋_GB2312" w:cs="Times New Roman"/>
          <w:color w:val="auto"/>
          <w:sz w:val="32"/>
          <w:szCs w:val="24"/>
          <w:highlight w:val="none"/>
          <w:lang w:val="en-GB"/>
        </w:rPr>
        <w:t>25度以上</w:t>
      </w:r>
      <w:r>
        <w:rPr>
          <w:rFonts w:hint="eastAsia" w:ascii="Times New Roman" w:hAnsi="Times New Roman" w:eastAsia="仿宋_GB2312" w:cs="Times New Roman"/>
          <w:color w:val="auto"/>
          <w:sz w:val="32"/>
          <w:szCs w:val="24"/>
          <w:highlight w:val="none"/>
          <w:lang w:val="en-US" w:eastAsia="zh-CN"/>
        </w:rPr>
        <w:t>坡</w:t>
      </w:r>
      <w:r>
        <w:rPr>
          <w:rFonts w:hint="eastAsia" w:ascii="Times New Roman" w:hAnsi="Times New Roman" w:eastAsia="仿宋_GB2312" w:cs="Times New Roman"/>
          <w:color w:val="auto"/>
          <w:sz w:val="32"/>
          <w:szCs w:val="24"/>
          <w:highlight w:val="none"/>
          <w:lang w:val="en-GB"/>
        </w:rPr>
        <w:t>耕地</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生态红线</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含</w:t>
      </w:r>
      <w:r>
        <w:rPr>
          <w:rFonts w:hint="eastAsia" w:ascii="Times New Roman" w:hAnsi="Times New Roman" w:eastAsia="仿宋_GB2312" w:cs="Times New Roman"/>
          <w:color w:val="auto"/>
          <w:sz w:val="32"/>
          <w:szCs w:val="24"/>
          <w:highlight w:val="none"/>
          <w:lang w:val="en-GB"/>
        </w:rPr>
        <w:t>自然保护地</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、退耕还林</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草</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、城镇开发</w:t>
      </w:r>
      <w:r>
        <w:rPr>
          <w:rFonts w:hint="eastAsia" w:ascii="Times New Roman" w:hAnsi="Times New Roman" w:eastAsia="仿宋_GB2312" w:cs="Times New Roman"/>
          <w:color w:val="auto"/>
          <w:sz w:val="32"/>
          <w:szCs w:val="24"/>
          <w:highlight w:val="none"/>
          <w:lang w:val="en-US" w:eastAsia="zh-CN"/>
        </w:rPr>
        <w:t>边界等禁止选址区域</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未扣除数据库为耕地</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现场为非耕地的范围。</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4</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基本指标核查后存在较大误差的，例如：土地平整、灌溉与排水、田间道路、</w:t>
      </w:r>
      <w:r>
        <w:rPr>
          <w:rFonts w:hint="eastAsia" w:ascii="Times New Roman" w:hAnsi="Times New Roman" w:eastAsia="仿宋_GB2312" w:cs="Times New Roman"/>
          <w:color w:val="auto"/>
          <w:sz w:val="32"/>
          <w:szCs w:val="24"/>
          <w:highlight w:val="none"/>
        </w:rPr>
        <w:t>农田防护与生态</w:t>
      </w:r>
      <w:r>
        <w:rPr>
          <w:rFonts w:hint="eastAsia" w:ascii="Times New Roman" w:hAnsi="Times New Roman" w:eastAsia="仿宋_GB2312" w:cs="Times New Roman"/>
          <w:color w:val="auto"/>
          <w:sz w:val="32"/>
          <w:szCs w:val="24"/>
          <w:highlight w:val="none"/>
          <w:lang w:val="en-US" w:eastAsia="zh-CN"/>
        </w:rPr>
        <w:t>环境</w:t>
      </w:r>
      <w:r>
        <w:rPr>
          <w:rFonts w:hint="eastAsia" w:ascii="Times New Roman" w:hAnsi="Times New Roman" w:eastAsia="仿宋_GB2312" w:cs="Times New Roman"/>
          <w:color w:val="auto"/>
          <w:sz w:val="32"/>
          <w:szCs w:val="24"/>
          <w:highlight w:val="none"/>
        </w:rPr>
        <w:t>修复工程</w:t>
      </w:r>
      <w:r>
        <w:rPr>
          <w:rFonts w:hint="eastAsia" w:ascii="Times New Roman" w:hAnsi="Times New Roman" w:eastAsia="仿宋_GB2312" w:cs="Times New Roman"/>
          <w:color w:val="auto"/>
          <w:sz w:val="32"/>
          <w:szCs w:val="24"/>
          <w:highlight w:val="none"/>
          <w:lang w:eastAsia="zh-CN"/>
        </w:rPr>
        <w:t>、</w:t>
      </w:r>
      <w:r>
        <w:rPr>
          <w:rFonts w:hint="eastAsia" w:ascii="Times New Roman" w:hAnsi="Times New Roman" w:eastAsia="仿宋_GB2312" w:cs="Times New Roman"/>
          <w:color w:val="auto"/>
          <w:sz w:val="32"/>
          <w:szCs w:val="24"/>
          <w:highlight w:val="none"/>
          <w:lang w:val="en-GB"/>
        </w:rPr>
        <w:t>其他工程预算投资比例明显失衡；单位工程预算明显不合理；不属于土地整治投资范畴</w:t>
      </w:r>
      <w:r>
        <w:rPr>
          <w:rFonts w:hint="eastAsia" w:ascii="Times New Roman" w:hAnsi="Times New Roman" w:eastAsia="仿宋_GB2312" w:cs="Times New Roman"/>
          <w:color w:val="auto"/>
          <w:sz w:val="32"/>
          <w:szCs w:val="24"/>
          <w:highlight w:val="none"/>
          <w:lang w:val="en-GB" w:eastAsia="zh-CN"/>
        </w:rPr>
        <w:t>的</w:t>
      </w:r>
      <w:r>
        <w:rPr>
          <w:rFonts w:hint="eastAsia" w:ascii="Times New Roman" w:hAnsi="Times New Roman" w:eastAsia="仿宋_GB2312" w:cs="Times New Roman"/>
          <w:color w:val="auto"/>
          <w:sz w:val="32"/>
          <w:szCs w:val="24"/>
          <w:highlight w:val="none"/>
          <w:lang w:val="en-GB"/>
        </w:rPr>
        <w:t>单位工程</w:t>
      </w:r>
      <w:r>
        <w:rPr>
          <w:rFonts w:hint="eastAsia" w:ascii="Times New Roman" w:hAnsi="Times New Roman" w:eastAsia="仿宋_GB2312" w:cs="Times New Roman"/>
          <w:color w:val="auto"/>
          <w:sz w:val="32"/>
          <w:szCs w:val="24"/>
          <w:highlight w:val="none"/>
          <w:lang w:val="en-US" w:eastAsia="zh-CN"/>
        </w:rPr>
        <w:t>纳入投资预算</w:t>
      </w:r>
      <w:r>
        <w:rPr>
          <w:rFonts w:hint="eastAsia" w:ascii="Times New Roman" w:hAnsi="Times New Roman" w:eastAsia="仿宋_GB2312" w:cs="Times New Roman"/>
          <w:color w:val="auto"/>
          <w:sz w:val="32"/>
          <w:szCs w:val="24"/>
          <w:highlight w:val="none"/>
          <w:lang w:val="en-GB"/>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5</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基本方案不合理，规划设计存在重大技术问题。例如：工程措施不符合项目实际情况；项目区存在的主要问题未解决；总体布局严重不协调；设计方案未对项目区原有工程设施充分利用和改造。</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6</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图件不规范。例如：新增耕地未按照《四川省新增耕地核定办法（试行）》上图；未按相关办法和技术标准要求编制图件，无法满足审查需要；规划图</w:t>
      </w:r>
      <w:r>
        <w:rPr>
          <w:rFonts w:hint="eastAsia" w:ascii="Times New Roman" w:hAnsi="Times New Roman" w:eastAsia="仿宋_GB2312" w:cs="Times New Roman"/>
          <w:color w:val="auto"/>
          <w:sz w:val="32"/>
          <w:szCs w:val="24"/>
          <w:highlight w:val="none"/>
          <w:lang w:val="en-US" w:eastAsia="zh-CN"/>
        </w:rPr>
        <w:t>未</w:t>
      </w:r>
      <w:r>
        <w:rPr>
          <w:rFonts w:hint="eastAsia" w:ascii="Times New Roman" w:hAnsi="Times New Roman" w:eastAsia="仿宋_GB2312" w:cs="Times New Roman"/>
          <w:color w:val="auto"/>
          <w:sz w:val="32"/>
          <w:szCs w:val="24"/>
          <w:highlight w:val="none"/>
          <w:lang w:val="en-GB"/>
        </w:rPr>
        <w:t>显示规划的主要工程内容、图面不清晰、图例不完整；土地平整范围不明；单位工程设计图未标注设计尺寸以及设计内容不全</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无法计算工程量；已列入投资预算的工程无设计图等。</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US" w:eastAsia="zh-CN"/>
        </w:rPr>
        <w:t>7</w:t>
      </w:r>
      <w:r>
        <w:rPr>
          <w:rFonts w:hint="eastAsia" w:ascii="Times New Roman" w:hAnsi="Times New Roman" w:eastAsia="仿宋_GB2312" w:cs="Times New Roman"/>
          <w:color w:val="auto"/>
          <w:sz w:val="32"/>
          <w:szCs w:val="24"/>
          <w:highlight w:val="none"/>
          <w:lang w:val="en-GB" w:eastAsia="zh-CN"/>
        </w:rPr>
        <w:t>）</w:t>
      </w:r>
      <w:r>
        <w:rPr>
          <w:rFonts w:hint="eastAsia" w:ascii="Times New Roman" w:hAnsi="Times New Roman" w:eastAsia="仿宋_GB2312" w:cs="Times New Roman"/>
          <w:color w:val="auto"/>
          <w:sz w:val="32"/>
          <w:szCs w:val="24"/>
          <w:highlight w:val="none"/>
          <w:lang w:val="en-GB"/>
        </w:rPr>
        <w:t>预算书编制未按照《四川省土地开发整理项目预算定额标准》要求编制。</w:t>
      </w:r>
    </w:p>
    <w:p>
      <w:pPr>
        <w:keepNext/>
        <w:keepLines/>
        <w:pageBreakBefore w:val="0"/>
        <w:widowControl w:val="0"/>
        <w:tabs>
          <w:tab w:val="left" w:pos="6782"/>
        </w:tabs>
        <w:kinsoku/>
        <w:wordWrap/>
        <w:overflowPunct/>
        <w:topLinePunct w:val="0"/>
        <w:autoSpaceDE/>
        <w:autoSpaceDN/>
        <w:bidi w:val="0"/>
        <w:adjustRightInd w:val="0"/>
        <w:snapToGrid w:val="0"/>
        <w:spacing w:line="600" w:lineRule="exact"/>
        <w:ind w:firstLine="640" w:firstLineChars="200"/>
        <w:jc w:val="left"/>
        <w:textAlignment w:val="auto"/>
        <w:outlineLvl w:val="2"/>
        <w:rPr>
          <w:rFonts w:hint="eastAsia" w:ascii="黑体" w:hAnsi="黑体" w:eastAsia="黑体" w:cs="黑体"/>
          <w:bCs/>
          <w:color w:val="auto"/>
          <w:sz w:val="32"/>
          <w:szCs w:val="32"/>
          <w:highlight w:val="none"/>
          <w:lang w:val="en-GB" w:eastAsia="zh-CN"/>
        </w:rPr>
      </w:pPr>
      <w:bookmarkStart w:id="22" w:name="_Toc13906"/>
      <w:r>
        <w:rPr>
          <w:rFonts w:hint="eastAsia" w:ascii="黑体" w:hAnsi="黑体" w:eastAsia="黑体" w:cs="黑体"/>
          <w:bCs/>
          <w:color w:val="auto"/>
          <w:sz w:val="32"/>
          <w:szCs w:val="28"/>
          <w:highlight w:val="none"/>
          <w:lang w:val="en-US" w:eastAsia="zh-CN"/>
        </w:rPr>
        <w:t>三、</w:t>
      </w:r>
      <w:r>
        <w:rPr>
          <w:rFonts w:hint="eastAsia" w:ascii="黑体" w:hAnsi="黑体" w:eastAsia="黑体" w:cs="黑体"/>
          <w:bCs/>
          <w:color w:val="auto"/>
          <w:sz w:val="32"/>
          <w:szCs w:val="28"/>
          <w:highlight w:val="none"/>
          <w:lang w:val="en-GB"/>
        </w:rPr>
        <w:t>廉政风险管控要求</w:t>
      </w:r>
      <w:bookmarkEnd w:id="22"/>
    </w:p>
    <w:p>
      <w:pPr>
        <w:rPr>
          <w:rFonts w:hint="eastAsia" w:ascii="Times New Roman" w:hAnsi="Times New Roman" w:eastAsia="仿宋_GB2312" w:cs="Times New Roman"/>
          <w:color w:val="auto"/>
          <w:sz w:val="32"/>
          <w:szCs w:val="24"/>
          <w:highlight w:val="none"/>
          <w:lang w:val="en-GB"/>
        </w:rPr>
      </w:pPr>
      <w:r>
        <w:rPr>
          <w:rFonts w:hint="eastAsia" w:ascii="Times New Roman" w:hAnsi="Times New Roman" w:eastAsia="仿宋_GB2312" w:cs="Times New Roman"/>
          <w:color w:val="auto"/>
          <w:sz w:val="32"/>
          <w:szCs w:val="24"/>
          <w:highlight w:val="none"/>
          <w:lang w:val="en-GB"/>
        </w:rPr>
        <w:t>针对历次督察、审计、巡视以及日常监督检查中发现的项目规划设计和预算不精细、项目设计变更随意性大、立项审核不严格、新增耕地不实等问题，各级自然资源主管部门要从项目规划设计阶段抓起，严把质量关，确保方案科学合理、工程量精准、预算定额选取准确。</w:t>
      </w:r>
      <w:r>
        <w:rPr>
          <w:rFonts w:hint="eastAsia" w:ascii="Times New Roman" w:hAnsi="Times New Roman" w:eastAsia="仿宋_GB2312" w:cs="Times New Roman"/>
          <w:b/>
          <w:bCs/>
          <w:color w:val="auto"/>
          <w:sz w:val="32"/>
          <w:szCs w:val="24"/>
          <w:highlight w:val="none"/>
          <w:lang w:val="en-US" w:eastAsia="zh-CN"/>
        </w:rPr>
        <w:t>一是</w:t>
      </w:r>
      <w:r>
        <w:rPr>
          <w:rFonts w:hint="eastAsia" w:ascii="Times New Roman" w:hAnsi="Times New Roman" w:eastAsia="仿宋_GB2312" w:cs="Times New Roman"/>
          <w:color w:val="auto"/>
          <w:sz w:val="32"/>
          <w:szCs w:val="24"/>
          <w:highlight w:val="none"/>
          <w:lang w:val="en-US" w:eastAsia="zh-CN"/>
        </w:rPr>
        <w:t>要</w:t>
      </w:r>
      <w:r>
        <w:rPr>
          <w:rFonts w:hint="eastAsia" w:ascii="Times New Roman" w:hAnsi="Times New Roman" w:eastAsia="仿宋_GB2312" w:cs="Times New Roman"/>
          <w:color w:val="auto"/>
          <w:sz w:val="32"/>
          <w:szCs w:val="24"/>
          <w:highlight w:val="none"/>
          <w:lang w:val="en-GB"/>
        </w:rPr>
        <w:t>严格执行相关管理规定，充分征求农民、村组、乡镇以及财政、交通、水利、环保、农业等相关部门意见，提高规划设计成果质量，确保规划设计的科学性。</w:t>
      </w:r>
      <w:r>
        <w:rPr>
          <w:rFonts w:hint="eastAsia" w:ascii="Times New Roman" w:hAnsi="Times New Roman" w:eastAsia="仿宋_GB2312" w:cs="Times New Roman"/>
          <w:b/>
          <w:bCs/>
          <w:color w:val="auto"/>
          <w:sz w:val="32"/>
          <w:szCs w:val="24"/>
          <w:highlight w:val="none"/>
          <w:lang w:val="en-US" w:eastAsia="zh-CN"/>
        </w:rPr>
        <w:t>二是</w:t>
      </w:r>
      <w:r>
        <w:rPr>
          <w:rFonts w:hint="eastAsia" w:ascii="Times New Roman" w:hAnsi="Times New Roman" w:eastAsia="仿宋_GB2312" w:cs="Times New Roman"/>
          <w:color w:val="auto"/>
          <w:sz w:val="32"/>
          <w:szCs w:val="24"/>
          <w:highlight w:val="none"/>
          <w:lang w:val="en-US" w:eastAsia="zh-CN"/>
        </w:rPr>
        <w:t>要</w:t>
      </w:r>
      <w:r>
        <w:rPr>
          <w:rFonts w:hint="eastAsia" w:ascii="Times New Roman" w:hAnsi="Times New Roman" w:eastAsia="仿宋_GB2312" w:cs="Times New Roman"/>
          <w:color w:val="auto"/>
          <w:sz w:val="32"/>
          <w:szCs w:val="24"/>
          <w:highlight w:val="none"/>
          <w:lang w:val="en-GB"/>
        </w:rPr>
        <w:t>严格按照规划设计和质量标准实施，规划设计变更应遵循优化设计、严格控制变更总量、先报批后变更的原则，确保规划设计的权威性和刚性。</w:t>
      </w:r>
      <w:r>
        <w:rPr>
          <w:rFonts w:hint="eastAsia" w:ascii="Times New Roman" w:hAnsi="Times New Roman" w:eastAsia="仿宋_GB2312" w:cs="Times New Roman"/>
          <w:b/>
          <w:bCs/>
          <w:color w:val="auto"/>
          <w:sz w:val="32"/>
          <w:szCs w:val="24"/>
          <w:highlight w:val="none"/>
          <w:lang w:val="en-US" w:eastAsia="zh-CN"/>
        </w:rPr>
        <w:t>三是</w:t>
      </w:r>
      <w:r>
        <w:rPr>
          <w:rFonts w:hint="eastAsia" w:ascii="Times New Roman" w:hAnsi="Times New Roman" w:eastAsia="仿宋_GB2312" w:cs="Times New Roman"/>
          <w:color w:val="auto"/>
          <w:sz w:val="32"/>
          <w:szCs w:val="24"/>
          <w:highlight w:val="none"/>
          <w:lang w:val="en-US" w:eastAsia="zh-CN"/>
        </w:rPr>
        <w:t>要</w:t>
      </w:r>
      <w:r>
        <w:rPr>
          <w:rFonts w:hint="eastAsia" w:ascii="Times New Roman" w:hAnsi="Times New Roman" w:eastAsia="仿宋_GB2312" w:cs="Times New Roman"/>
          <w:color w:val="auto"/>
          <w:sz w:val="32"/>
          <w:szCs w:val="24"/>
          <w:highlight w:val="none"/>
          <w:lang w:val="en-GB"/>
        </w:rPr>
        <w:t>充分运用高清影像辅助审查、信息化管理等技术手段，推进科技反腐，重点加强对项目申报、立项、变更、实施、验收等程序和资金使用等关键环节的监管，切实有效防控风险。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ZmMzYWM4NTc2ZGRhYmIyOGM3NmNiMDlmMjdmYjEifQ=="/>
  </w:docVars>
  <w:rsids>
    <w:rsidRoot w:val="00000000"/>
    <w:rsid w:val="1D495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2022-06-20T06:50:21Z</dcterms:created>
  <dc:creator>Administrator</dc:creator>
  <cp:lastModifiedBy>sharrie</cp:lastModifiedBy>
  <dcterms:modified xsi:type="dcterms:W3CDTF">2022-06-20T06:50:39Z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7E7AF478DD22459F9185405E54CCEB5B</vt:lpwstr>
  </property>
</Properties>
</file>