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40" w:lineRule="exact"/>
        <w:jc w:val="both"/>
        <w:rPr>
          <w:rFonts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附件2</w:t>
      </w:r>
    </w:p>
    <w:p>
      <w:pPr>
        <w:pStyle w:val="2"/>
        <w:spacing w:line="640" w:lineRule="exact"/>
        <w:jc w:val="center"/>
        <w:rPr>
          <w:rFonts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sz w:val="44"/>
          <w:szCs w:val="44"/>
          <w:highlight w:val="none"/>
        </w:rPr>
        <w:t>《成都平原经济区国土空间规划（2021—2035年）（征求意见稿）》</w:t>
      </w:r>
    </w:p>
    <w:p>
      <w:pPr>
        <w:pStyle w:val="2"/>
        <w:spacing w:line="640" w:lineRule="exact"/>
        <w:jc w:val="center"/>
        <w:rPr>
          <w:rFonts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sz w:val="44"/>
          <w:szCs w:val="44"/>
          <w:highlight w:val="none"/>
        </w:rPr>
        <w:t>起草说明材料</w:t>
      </w:r>
    </w:p>
    <w:p>
      <w:pPr>
        <w:pStyle w:val="2"/>
        <w:spacing w:line="640" w:lineRule="exact"/>
        <w:jc w:val="center"/>
        <w:rPr>
          <w:rFonts w:ascii="方正小标宋简体" w:hAnsi="方正小标宋简体" w:eastAsia="方正小标宋简体" w:cs="方正小标宋简体"/>
          <w:b w:val="0"/>
          <w:bCs w:val="0"/>
          <w:sz w:val="40"/>
          <w:szCs w:val="40"/>
          <w:highlight w:val="none"/>
        </w:rPr>
      </w:pPr>
    </w:p>
    <w:p>
      <w:pPr>
        <w:spacing w:line="600" w:lineRule="exact"/>
        <w:ind w:firstLine="640" w:firstLineChars="200"/>
        <w:outlineLvl w:val="0"/>
        <w:rPr>
          <w:rFonts w:ascii="Times New Roman" w:hAnsi="Times New Roman" w:eastAsia="黑体"/>
          <w:b w:val="0"/>
          <w:bCs w:val="0"/>
          <w:sz w:val="32"/>
          <w:szCs w:val="32"/>
          <w:highlight w:val="none"/>
        </w:rPr>
      </w:pPr>
      <w:r>
        <w:rPr>
          <w:rFonts w:ascii="Times New Roman" w:hAnsi="Times New Roman" w:eastAsia="黑体"/>
          <w:b w:val="0"/>
          <w:bCs w:val="0"/>
          <w:sz w:val="32"/>
          <w:szCs w:val="32"/>
          <w:highlight w:val="none"/>
        </w:rPr>
        <w:t>一、</w:t>
      </w:r>
      <w:r>
        <w:rPr>
          <w:rFonts w:hint="eastAsia" w:eastAsia="黑体"/>
          <w:b w:val="0"/>
          <w:bCs w:val="0"/>
          <w:sz w:val="32"/>
          <w:szCs w:val="32"/>
          <w:highlight w:val="none"/>
        </w:rPr>
        <w:t>规划思路</w:t>
      </w:r>
    </w:p>
    <w:p>
      <w:pPr>
        <w:pStyle w:val="9"/>
        <w:spacing w:line="560" w:lineRule="exact"/>
        <w:ind w:firstLine="624"/>
        <w:rPr>
          <w:rFonts w:hint="eastAsia" w:ascii="Times New Roman" w:hAnsi="Times New Roman"/>
          <w:b w:val="0"/>
          <w:bCs w:val="0"/>
          <w:color w:val="auto"/>
          <w:highlight w:val="none"/>
        </w:rPr>
      </w:pPr>
      <w:r>
        <w:rPr>
          <w:rFonts w:ascii="Times New Roman" w:hAnsi="Times New Roman"/>
          <w:b w:val="0"/>
          <w:bCs w:val="0"/>
          <w:color w:val="auto"/>
          <w:highlight w:val="none"/>
        </w:rPr>
        <w:t>坚定以习近平新时代中国特色社会主义思想和习近平总书记对四川工作系列重要指示精神为指导，深入学习贯彻党的二十大精神，全面落实</w:t>
      </w:r>
      <w:r>
        <w:rPr>
          <w:rFonts w:hint="eastAsia" w:ascii="Times New Roman" w:hAnsi="Times New Roman"/>
          <w:b w:val="0"/>
          <w:bCs w:val="0"/>
          <w:color w:val="auto"/>
          <w:highlight w:val="none"/>
        </w:rPr>
        <w:t>四川省委十二届二次全会</w:t>
      </w:r>
      <w:r>
        <w:rPr>
          <w:rFonts w:ascii="Times New Roman" w:hAnsi="Times New Roman"/>
          <w:b w:val="0"/>
          <w:bCs w:val="0"/>
          <w:color w:val="auto"/>
          <w:highlight w:val="none"/>
        </w:rPr>
        <w:t>系列部署，</w:t>
      </w:r>
      <w:r>
        <w:rPr>
          <w:rFonts w:hint="eastAsia" w:ascii="Times New Roman" w:hAnsi="Times New Roman"/>
          <w:b w:val="0"/>
          <w:bCs w:val="0"/>
          <w:kern w:val="0"/>
          <w:highlight w:val="none"/>
        </w:rPr>
        <w:t>落实四川省委省政府对新时代四川省国土空间开发保护工作的要求，在《四川省国土空间规划（2021—2035年）》基础上进行深化细化，编制《成都平原经济区国土空间规划（2021—2035年）》。成都平原经济区国土空间规划整体谋划区域国土空间保护开发新格局，统筹关键性空间资源配置，推进跨行政区划区域协调的国土空间专项规划，是指导片区各市开展保护、开发、整治、修复等各类国土空间活动的指导性文件，也是编制市县国土空间总体规划的重要依据。规划</w:t>
      </w:r>
      <w:r>
        <w:rPr>
          <w:rFonts w:hint="eastAsia" w:ascii="Times New Roman" w:hAnsi="Times New Roman"/>
          <w:b w:val="0"/>
          <w:bCs w:val="0"/>
          <w:color w:val="auto"/>
          <w:highlight w:val="none"/>
        </w:rPr>
        <w:t>紧紧围绕高质量发展先行区建设，立足片区特征和主要矛盾，</w:t>
      </w:r>
      <w:r>
        <w:rPr>
          <w:rFonts w:ascii="Times New Roman" w:hAnsi="Times New Roman"/>
          <w:b w:val="0"/>
          <w:bCs w:val="0"/>
          <w:color w:val="auto"/>
          <w:highlight w:val="none"/>
        </w:rPr>
        <w:t>重点协调好耕地保护和城镇化聚集发展的空间关系</w:t>
      </w:r>
      <w:r>
        <w:rPr>
          <w:rFonts w:hint="eastAsia" w:ascii="Times New Roman" w:hAnsi="Times New Roman"/>
          <w:b w:val="0"/>
          <w:bCs w:val="0"/>
          <w:color w:val="auto"/>
          <w:highlight w:val="none"/>
        </w:rPr>
        <w:t>，整体谋划国土空间保护开发新格局，严守国土空间安全底线，</w:t>
      </w:r>
      <w:r>
        <w:rPr>
          <w:rFonts w:ascii="Times New Roman" w:hAnsi="Times New Roman"/>
          <w:b w:val="0"/>
          <w:bCs w:val="0"/>
          <w:color w:val="auto"/>
          <w:highlight w:val="none"/>
        </w:rPr>
        <w:t>严格保护耕地，打造新时代更高水平的</w:t>
      </w:r>
      <w:r>
        <w:rPr>
          <w:rFonts w:hint="eastAsia" w:ascii="Times New Roman" w:hAnsi="Times New Roman"/>
          <w:b w:val="0"/>
          <w:bCs w:val="0"/>
          <w:color w:val="auto"/>
          <w:highlight w:val="none"/>
        </w:rPr>
        <w:t>“</w:t>
      </w:r>
      <w:r>
        <w:rPr>
          <w:rFonts w:ascii="Times New Roman" w:hAnsi="Times New Roman"/>
          <w:b w:val="0"/>
          <w:bCs w:val="0"/>
          <w:color w:val="auto"/>
          <w:highlight w:val="none"/>
        </w:rPr>
        <w:t>天府粮仓</w:t>
      </w:r>
      <w:r>
        <w:rPr>
          <w:rFonts w:hint="eastAsia" w:ascii="Times New Roman" w:hAnsi="Times New Roman"/>
          <w:b w:val="0"/>
          <w:bCs w:val="0"/>
          <w:color w:val="auto"/>
          <w:highlight w:val="none"/>
        </w:rPr>
        <w:t>”，</w:t>
      </w:r>
      <w:r>
        <w:rPr>
          <w:rFonts w:ascii="Times New Roman" w:hAnsi="Times New Roman"/>
          <w:b w:val="0"/>
          <w:bCs w:val="0"/>
          <w:color w:val="auto"/>
          <w:highlight w:val="none"/>
        </w:rPr>
        <w:t>全面加强生态保护保育，</w:t>
      </w:r>
      <w:r>
        <w:rPr>
          <w:rFonts w:hint="eastAsia" w:ascii="Times New Roman" w:hAnsi="Times New Roman"/>
          <w:b w:val="0"/>
          <w:bCs w:val="0"/>
          <w:color w:val="auto"/>
          <w:highlight w:val="none"/>
        </w:rPr>
        <w:t>统筹协调各类资源要素，提升国土空间资源利用效率，稳步促进成都平原经济区实现“内圈同城化、全域一体化”，为其在全省现代化建设中走在前列奠定坚实基础。</w:t>
      </w:r>
    </w:p>
    <w:p>
      <w:pPr>
        <w:spacing w:line="600" w:lineRule="exact"/>
        <w:ind w:firstLine="640" w:firstLineChars="200"/>
        <w:outlineLvl w:val="0"/>
        <w:rPr>
          <w:rFonts w:ascii="Times New Roman" w:hAnsi="Times New Roman" w:eastAsia="黑体"/>
          <w:b w:val="0"/>
          <w:bCs w:val="0"/>
          <w:sz w:val="32"/>
          <w:szCs w:val="32"/>
          <w:highlight w:val="none"/>
        </w:rPr>
      </w:pPr>
      <w:r>
        <w:rPr>
          <w:rFonts w:ascii="Times New Roman" w:hAnsi="Times New Roman" w:eastAsia="黑体"/>
          <w:b w:val="0"/>
          <w:bCs w:val="0"/>
          <w:sz w:val="32"/>
          <w:szCs w:val="32"/>
          <w:highlight w:val="none"/>
        </w:rPr>
        <w:t>二、</w:t>
      </w:r>
      <w:r>
        <w:rPr>
          <w:rFonts w:hint="eastAsia" w:eastAsia="黑体"/>
          <w:b w:val="0"/>
          <w:bCs w:val="0"/>
          <w:sz w:val="32"/>
          <w:szCs w:val="32"/>
          <w:highlight w:val="none"/>
        </w:rPr>
        <w:t>规划内容</w:t>
      </w:r>
    </w:p>
    <w:p>
      <w:pPr>
        <w:spacing w:line="600" w:lineRule="exact"/>
        <w:ind w:firstLine="640"/>
        <w:rPr>
          <w:rFonts w:ascii="Times New Roman" w:hAnsi="Times New Roman" w:eastAsia="仿宋_GB2312"/>
          <w:b w:val="0"/>
          <w:bCs w:val="0"/>
          <w:color w:val="000000"/>
          <w:kern w:val="0"/>
          <w:sz w:val="32"/>
          <w:szCs w:val="32"/>
          <w:highlight w:val="none"/>
        </w:rPr>
      </w:pPr>
      <w:r>
        <w:rPr>
          <w:rFonts w:hint="eastAsia" w:ascii="Times New Roman" w:hAnsi="Times New Roman" w:eastAsia="仿宋_GB2312"/>
          <w:b w:val="0"/>
          <w:bCs w:val="0"/>
          <w:color w:val="000000"/>
          <w:kern w:val="0"/>
          <w:sz w:val="32"/>
          <w:szCs w:val="32"/>
          <w:highlight w:val="none"/>
        </w:rPr>
        <w:t>本规划依据《四川省国土空间规划（2021—2035年）》开展编制工作，立足片区优势特征与主要问题，对国土空间保护开发格局进行整体谋划，现将规划内容简要介绍如下。</w:t>
      </w:r>
    </w:p>
    <w:p>
      <w:pPr>
        <w:spacing w:line="600" w:lineRule="exact"/>
        <w:ind w:firstLine="640" w:firstLineChars="200"/>
        <w:outlineLvl w:val="1"/>
        <w:rPr>
          <w:rFonts w:ascii="楷体_GB2312" w:hAnsi="楷体_GB2312" w:eastAsia="楷体_GB2312" w:cs="楷体_GB2312"/>
          <w:b w:val="0"/>
          <w:bCs w:val="0"/>
          <w:color w:val="000000"/>
          <w:kern w:val="0"/>
          <w:sz w:val="32"/>
          <w:szCs w:val="32"/>
          <w:highlight w:val="none"/>
        </w:rPr>
      </w:pPr>
      <w:r>
        <w:rPr>
          <w:rFonts w:hint="eastAsia" w:ascii="楷体_GB2312" w:hAnsi="楷体_GB2312" w:eastAsia="楷体_GB2312" w:cs="楷体_GB2312"/>
          <w:b w:val="0"/>
          <w:bCs w:val="0"/>
          <w:color w:val="000000"/>
          <w:kern w:val="0"/>
          <w:sz w:val="32"/>
          <w:szCs w:val="32"/>
          <w:highlight w:val="none"/>
        </w:rPr>
        <w:t>（一）构筑全域一体化的国土空间保护开发新格局</w:t>
      </w:r>
    </w:p>
    <w:p>
      <w:pPr>
        <w:spacing w:line="600" w:lineRule="exact"/>
        <w:ind w:firstLine="640"/>
        <w:rPr>
          <w:rFonts w:ascii="Times New Roman" w:hAnsi="Times New Roman" w:eastAsia="仿宋_GB2312"/>
          <w:b w:val="0"/>
          <w:bCs w:val="0"/>
          <w:color w:val="000000"/>
          <w:kern w:val="0"/>
          <w:sz w:val="32"/>
          <w:szCs w:val="32"/>
          <w:highlight w:val="none"/>
        </w:rPr>
      </w:pPr>
      <w:r>
        <w:rPr>
          <w:rFonts w:hint="eastAsia" w:ascii="Times New Roman" w:hAnsi="Times New Roman" w:eastAsia="仿宋_GB2312"/>
          <w:b w:val="0"/>
          <w:bCs w:val="0"/>
          <w:color w:val="000000"/>
          <w:kern w:val="0"/>
          <w:sz w:val="32"/>
          <w:szCs w:val="32"/>
          <w:highlight w:val="none"/>
        </w:rPr>
        <w:t>在</w:t>
      </w:r>
      <w:r>
        <w:rPr>
          <w:rFonts w:ascii="Times New Roman" w:hAnsi="Times New Roman" w:eastAsia="仿宋_GB2312"/>
          <w:b w:val="0"/>
          <w:bCs w:val="0"/>
          <w:spacing w:val="-4"/>
          <w:sz w:val="32"/>
          <w:szCs w:val="32"/>
          <w:highlight w:val="none"/>
        </w:rPr>
        <w:t>严格落实《四川省国土空间规划（2021—2035年）》</w:t>
      </w:r>
      <w:r>
        <w:rPr>
          <w:rFonts w:hint="eastAsia" w:ascii="Times New Roman" w:hAnsi="Times New Roman" w:eastAsia="仿宋_GB2312"/>
          <w:b w:val="0"/>
          <w:bCs w:val="0"/>
          <w:spacing w:val="-4"/>
          <w:sz w:val="32"/>
          <w:szCs w:val="32"/>
          <w:highlight w:val="none"/>
        </w:rPr>
        <w:t>确定的国土空间底线的基础上，按照</w:t>
      </w:r>
      <w:r>
        <w:rPr>
          <w:rFonts w:ascii="Times New Roman" w:hAnsi="Times New Roman" w:eastAsia="仿宋_GB2312"/>
          <w:b w:val="0"/>
          <w:bCs w:val="0"/>
          <w:color w:val="000000"/>
          <w:kern w:val="0"/>
          <w:sz w:val="32"/>
          <w:szCs w:val="32"/>
          <w:highlight w:val="none"/>
        </w:rPr>
        <w:t>四川省委省政府作出</w:t>
      </w:r>
      <w:r>
        <w:rPr>
          <w:rFonts w:hint="eastAsia" w:ascii="Times New Roman" w:hAnsi="Times New Roman" w:eastAsia="仿宋_GB2312"/>
          <w:b w:val="0"/>
          <w:bCs w:val="0"/>
          <w:color w:val="000000"/>
          <w:kern w:val="0"/>
          <w:sz w:val="32"/>
          <w:szCs w:val="32"/>
          <w:highlight w:val="none"/>
        </w:rPr>
        <w:t>的“突出双城引领、强化双圈互动、两翼协同，加快中部崛起”的空间发展思路，遵循</w:t>
      </w:r>
      <w:r>
        <w:rPr>
          <w:rFonts w:hint="eastAsia" w:ascii="Times New Roman" w:hAnsi="Times New Roman" w:eastAsia="仿宋_GB2312"/>
          <w:b w:val="0"/>
          <w:bCs w:val="0"/>
          <w:color w:val="000000"/>
          <w:kern w:val="0"/>
          <w:sz w:val="32"/>
          <w:szCs w:val="32"/>
          <w:highlight w:val="none"/>
          <w:lang w:eastAsia="zh-CN"/>
        </w:rPr>
        <w:t>成都平原经济区</w:t>
      </w:r>
      <w:r>
        <w:rPr>
          <w:rFonts w:hint="eastAsia" w:ascii="Times New Roman" w:hAnsi="Times New Roman" w:eastAsia="仿宋_GB2312"/>
          <w:b w:val="0"/>
          <w:bCs w:val="0"/>
          <w:color w:val="000000"/>
          <w:kern w:val="0"/>
          <w:sz w:val="32"/>
          <w:szCs w:val="32"/>
          <w:highlight w:val="none"/>
        </w:rPr>
        <w:t>的自然地理格局和区域经济社会发展规律，规划构建“五区两山、一轴三带”的国土空间总体格局，重点强化集中连片的优质耕地保护和西部龙门山</w:t>
      </w:r>
      <w:r>
        <w:rPr>
          <w:rFonts w:hint="eastAsia" w:ascii="Times New Roman" w:hAnsi="Times New Roman" w:eastAsia="仿宋_GB2312"/>
          <w:b w:val="0"/>
          <w:bCs w:val="0"/>
          <w:color w:val="000000"/>
          <w:kern w:val="0"/>
          <w:sz w:val="32"/>
          <w:szCs w:val="32"/>
          <w:highlight w:val="none"/>
          <w:lang w:eastAsia="zh-CN"/>
        </w:rPr>
        <w:t>—</w:t>
      </w:r>
      <w:r>
        <w:rPr>
          <w:rFonts w:hint="eastAsia" w:ascii="Times New Roman" w:hAnsi="Times New Roman" w:eastAsia="仿宋_GB2312"/>
          <w:b w:val="0"/>
          <w:bCs w:val="0"/>
          <w:color w:val="000000"/>
          <w:kern w:val="0"/>
          <w:sz w:val="32"/>
          <w:szCs w:val="32"/>
          <w:highlight w:val="none"/>
        </w:rPr>
        <w:t>邛崃山</w:t>
      </w:r>
      <w:r>
        <w:rPr>
          <w:rFonts w:hint="eastAsia" w:ascii="Times New Roman" w:hAnsi="Times New Roman" w:eastAsia="仿宋_GB2312"/>
          <w:b w:val="0"/>
          <w:bCs w:val="0"/>
          <w:color w:val="000000"/>
          <w:kern w:val="0"/>
          <w:sz w:val="32"/>
          <w:szCs w:val="32"/>
          <w:highlight w:val="none"/>
          <w:lang w:eastAsia="zh-CN"/>
        </w:rPr>
        <w:t>—</w:t>
      </w:r>
      <w:r>
        <w:rPr>
          <w:rFonts w:hint="eastAsia" w:ascii="Times New Roman" w:hAnsi="Times New Roman" w:eastAsia="仿宋_GB2312"/>
          <w:b w:val="0"/>
          <w:bCs w:val="0"/>
          <w:color w:val="000000"/>
          <w:kern w:val="0"/>
          <w:sz w:val="32"/>
          <w:szCs w:val="32"/>
          <w:highlight w:val="none"/>
        </w:rPr>
        <w:t>大相岭</w:t>
      </w:r>
      <w:r>
        <w:rPr>
          <w:rFonts w:hint="eastAsia" w:ascii="Times New Roman" w:hAnsi="Times New Roman" w:eastAsia="仿宋_GB2312"/>
          <w:b w:val="0"/>
          <w:bCs w:val="0"/>
          <w:color w:val="000000"/>
          <w:kern w:val="0"/>
          <w:sz w:val="32"/>
          <w:szCs w:val="32"/>
          <w:highlight w:val="none"/>
          <w:lang w:eastAsia="zh-CN"/>
        </w:rPr>
        <w:t>—</w:t>
      </w:r>
      <w:r>
        <w:rPr>
          <w:rFonts w:hint="eastAsia" w:ascii="Times New Roman" w:hAnsi="Times New Roman" w:eastAsia="仿宋_GB2312"/>
          <w:b w:val="0"/>
          <w:bCs w:val="0"/>
          <w:color w:val="000000"/>
          <w:kern w:val="0"/>
          <w:sz w:val="32"/>
          <w:szCs w:val="32"/>
          <w:highlight w:val="none"/>
        </w:rPr>
        <w:t>小凉山的生态保护保育，协调好耕地保护和城镇化发展的空间关系，推动实现内圈同城化、全域一体化。</w:t>
      </w:r>
    </w:p>
    <w:p>
      <w:pPr>
        <w:spacing w:line="600" w:lineRule="exact"/>
        <w:ind w:firstLine="640" w:firstLineChars="200"/>
        <w:outlineLvl w:val="1"/>
        <w:rPr>
          <w:rFonts w:eastAsia="楷体_GB2312"/>
          <w:b w:val="0"/>
          <w:bCs w:val="0"/>
          <w:sz w:val="32"/>
          <w:szCs w:val="32"/>
          <w:highlight w:val="none"/>
        </w:rPr>
      </w:pPr>
      <w:r>
        <w:rPr>
          <w:rFonts w:hint="eastAsia" w:ascii="楷体_GB2312" w:hAnsi="楷体_GB2312" w:eastAsia="楷体_GB2312" w:cs="楷体_GB2312"/>
          <w:b w:val="0"/>
          <w:bCs w:val="0"/>
          <w:color w:val="000000"/>
          <w:kern w:val="0"/>
          <w:sz w:val="32"/>
          <w:szCs w:val="32"/>
          <w:highlight w:val="none"/>
        </w:rPr>
        <w:t>（二）夯实新时代更高水平“天府粮仓”空间基础</w:t>
      </w:r>
    </w:p>
    <w:p>
      <w:pPr>
        <w:spacing w:line="600" w:lineRule="exact"/>
        <w:ind w:firstLine="624" w:firstLineChars="200"/>
        <w:rPr>
          <w:rFonts w:hint="eastAsia" w:ascii="Times New Roman" w:hAnsi="Times New Roman" w:eastAsia="仿宋_GB2312"/>
          <w:b w:val="0"/>
          <w:bCs w:val="0"/>
          <w:spacing w:val="-4"/>
          <w:sz w:val="32"/>
          <w:szCs w:val="32"/>
          <w:highlight w:val="none"/>
        </w:rPr>
      </w:pPr>
      <w:r>
        <w:rPr>
          <w:rFonts w:hint="eastAsia" w:ascii="Times New Roman" w:hAnsi="Times New Roman" w:eastAsia="仿宋_GB2312"/>
          <w:b w:val="0"/>
          <w:bCs w:val="0"/>
          <w:spacing w:val="-4"/>
          <w:sz w:val="32"/>
          <w:szCs w:val="32"/>
          <w:highlight w:val="none"/>
        </w:rPr>
        <w:t>以建设新时代更高水平“天府粮仓”为目标，着力开展耕地</w:t>
      </w:r>
      <w:r>
        <w:rPr>
          <w:rFonts w:ascii="Times New Roman" w:hAnsi="Times New Roman" w:eastAsia="仿宋_GB2312"/>
          <w:b w:val="0"/>
          <w:bCs w:val="0"/>
          <w:spacing w:val="-4"/>
          <w:sz w:val="32"/>
          <w:szCs w:val="32"/>
          <w:highlight w:val="none"/>
        </w:rPr>
        <w:t>数量、质量和生态</w:t>
      </w:r>
      <w:r>
        <w:rPr>
          <w:rFonts w:hint="eastAsia" w:ascii="Times New Roman" w:hAnsi="Times New Roman" w:eastAsia="仿宋_GB2312"/>
          <w:b w:val="0"/>
          <w:bCs w:val="0"/>
          <w:spacing w:val="-4"/>
          <w:sz w:val="32"/>
          <w:szCs w:val="32"/>
          <w:highlight w:val="none"/>
        </w:rPr>
        <w:t>“三位一体”保护，</w:t>
      </w:r>
      <w:r>
        <w:rPr>
          <w:rFonts w:ascii="Times New Roman" w:hAnsi="Times New Roman" w:eastAsia="仿宋_GB2312"/>
          <w:b w:val="0"/>
          <w:bCs w:val="0"/>
          <w:spacing w:val="-4"/>
          <w:sz w:val="32"/>
          <w:szCs w:val="32"/>
          <w:highlight w:val="none"/>
        </w:rPr>
        <w:t>结合地理空间条件和水热资源，以自然地理单元打破行政界线，因地制宜布局五片以</w:t>
      </w:r>
      <w:r>
        <w:rPr>
          <w:rFonts w:hint="eastAsia" w:ascii="Times New Roman" w:hAnsi="Times New Roman" w:eastAsia="仿宋_GB2312"/>
          <w:b w:val="0"/>
          <w:bCs w:val="0"/>
          <w:spacing w:val="-4"/>
          <w:sz w:val="32"/>
          <w:szCs w:val="32"/>
          <w:highlight w:val="none"/>
        </w:rPr>
        <w:t>“</w:t>
      </w:r>
      <w:r>
        <w:rPr>
          <w:rFonts w:ascii="Times New Roman" w:hAnsi="Times New Roman" w:eastAsia="仿宋_GB2312"/>
          <w:b w:val="0"/>
          <w:bCs w:val="0"/>
          <w:spacing w:val="-4"/>
          <w:sz w:val="32"/>
          <w:szCs w:val="32"/>
          <w:highlight w:val="none"/>
        </w:rPr>
        <w:t>粮</w:t>
      </w:r>
      <w:r>
        <w:rPr>
          <w:rFonts w:hint="eastAsia" w:ascii="Times New Roman" w:hAnsi="Times New Roman" w:eastAsia="仿宋_GB2312"/>
          <w:b w:val="0"/>
          <w:bCs w:val="0"/>
          <w:spacing w:val="-4"/>
          <w:sz w:val="32"/>
          <w:szCs w:val="32"/>
          <w:highlight w:val="none"/>
        </w:rPr>
        <w:t>”</w:t>
      </w:r>
      <w:r>
        <w:rPr>
          <w:rFonts w:ascii="Times New Roman" w:hAnsi="Times New Roman" w:eastAsia="仿宋_GB2312"/>
          <w:b w:val="0"/>
          <w:bCs w:val="0"/>
          <w:spacing w:val="-4"/>
          <w:sz w:val="32"/>
          <w:szCs w:val="32"/>
          <w:highlight w:val="none"/>
        </w:rPr>
        <w:t>为主、复合高效的</w:t>
      </w:r>
      <w:r>
        <w:rPr>
          <w:rFonts w:hint="eastAsia" w:ascii="Times New Roman" w:hAnsi="Times New Roman" w:eastAsia="仿宋_GB2312"/>
          <w:b w:val="0"/>
          <w:bCs w:val="0"/>
          <w:spacing w:val="-4"/>
          <w:sz w:val="32"/>
          <w:szCs w:val="32"/>
          <w:highlight w:val="none"/>
        </w:rPr>
        <w:t>粮油主产区。围绕全省现代农业“10+3”产业体系，构建现代高效特色农业空间，共同培育川猪、川果、川茶、川菜、川味、川酒、川药等特色优势农业。按照“园区引领”思路，高水平推进现代农业园区规划、现代种业园区和种业基地建设，</w:t>
      </w:r>
      <w:r>
        <w:rPr>
          <w:rFonts w:ascii="Times New Roman" w:hAnsi="Times New Roman" w:eastAsia="仿宋_GB2312"/>
          <w:b w:val="0"/>
          <w:bCs w:val="0"/>
          <w:spacing w:val="-4"/>
          <w:sz w:val="32"/>
          <w:szCs w:val="32"/>
          <w:highlight w:val="none"/>
        </w:rPr>
        <w:t>强化农业科技和</w:t>
      </w:r>
      <w:r>
        <w:rPr>
          <w:rFonts w:hint="eastAsia" w:ascii="Times New Roman" w:hAnsi="Times New Roman" w:eastAsia="仿宋_GB2312"/>
          <w:b w:val="0"/>
          <w:bCs w:val="0"/>
          <w:spacing w:val="-4"/>
          <w:sz w:val="32"/>
          <w:szCs w:val="32"/>
          <w:highlight w:val="none"/>
        </w:rPr>
        <w:t>数字</w:t>
      </w:r>
      <w:r>
        <w:rPr>
          <w:rFonts w:ascii="Times New Roman" w:hAnsi="Times New Roman" w:eastAsia="仿宋_GB2312"/>
          <w:b w:val="0"/>
          <w:bCs w:val="0"/>
          <w:spacing w:val="-4"/>
          <w:sz w:val="32"/>
          <w:szCs w:val="32"/>
          <w:highlight w:val="none"/>
        </w:rPr>
        <w:t>支撑</w:t>
      </w:r>
      <w:r>
        <w:rPr>
          <w:rFonts w:hint="eastAsia" w:ascii="Times New Roman" w:hAnsi="Times New Roman" w:eastAsia="仿宋_GB2312"/>
          <w:b w:val="0"/>
          <w:bCs w:val="0"/>
          <w:spacing w:val="-4"/>
          <w:sz w:val="32"/>
          <w:szCs w:val="32"/>
          <w:highlight w:val="none"/>
        </w:rPr>
        <w:t>，</w:t>
      </w:r>
      <w:r>
        <w:rPr>
          <w:rFonts w:ascii="Times New Roman" w:hAnsi="Times New Roman" w:eastAsia="仿宋_GB2312"/>
          <w:b w:val="0"/>
          <w:bCs w:val="0"/>
          <w:spacing w:val="-4"/>
          <w:sz w:val="32"/>
          <w:szCs w:val="32"/>
          <w:highlight w:val="none"/>
        </w:rPr>
        <w:t>统筹实施全域土地综合整治</w:t>
      </w:r>
      <w:r>
        <w:rPr>
          <w:rFonts w:hint="eastAsia" w:ascii="Times New Roman" w:hAnsi="Times New Roman" w:eastAsia="仿宋_GB2312"/>
          <w:b w:val="0"/>
          <w:bCs w:val="0"/>
          <w:spacing w:val="-4"/>
          <w:sz w:val="32"/>
          <w:szCs w:val="32"/>
          <w:highlight w:val="none"/>
        </w:rPr>
        <w:t>，推动农业高质量发展。</w:t>
      </w:r>
    </w:p>
    <w:p>
      <w:pPr>
        <w:spacing w:line="600" w:lineRule="exact"/>
        <w:ind w:firstLine="624" w:firstLineChars="200"/>
        <w:rPr>
          <w:rFonts w:ascii="Times New Roman" w:hAnsi="Times New Roman" w:eastAsia="仿宋_GB2312"/>
          <w:b w:val="0"/>
          <w:bCs w:val="0"/>
          <w:spacing w:val="-4"/>
          <w:sz w:val="32"/>
          <w:szCs w:val="32"/>
          <w:highlight w:val="none"/>
        </w:rPr>
      </w:pPr>
      <w:r>
        <w:rPr>
          <w:rFonts w:hint="eastAsia" w:ascii="Times New Roman" w:hAnsi="Times New Roman" w:eastAsia="仿宋_GB2312"/>
          <w:b w:val="0"/>
          <w:bCs w:val="0"/>
          <w:spacing w:val="-4"/>
          <w:sz w:val="32"/>
          <w:szCs w:val="32"/>
          <w:highlight w:val="none"/>
        </w:rPr>
        <w:t>（三）</w:t>
      </w:r>
      <w:r>
        <w:rPr>
          <w:rFonts w:ascii="Times New Roman" w:hAnsi="Times New Roman" w:eastAsia="仿宋_GB2312"/>
          <w:b w:val="0"/>
          <w:bCs w:val="0"/>
          <w:spacing w:val="-4"/>
          <w:sz w:val="32"/>
          <w:szCs w:val="32"/>
          <w:highlight w:val="none"/>
        </w:rPr>
        <w:t>筑牢人与自然和谐共生的生态本底</w:t>
      </w:r>
    </w:p>
    <w:p>
      <w:pPr>
        <w:spacing w:line="600" w:lineRule="exact"/>
        <w:ind w:firstLine="624" w:firstLineChars="200"/>
        <w:rPr>
          <w:rFonts w:ascii="Times New Roman" w:hAnsi="Times New Roman" w:eastAsia="仿宋_GB2312"/>
          <w:b w:val="0"/>
          <w:bCs w:val="0"/>
          <w:spacing w:val="-4"/>
          <w:sz w:val="32"/>
          <w:szCs w:val="32"/>
          <w:highlight w:val="none"/>
        </w:rPr>
      </w:pPr>
      <w:r>
        <w:rPr>
          <w:rFonts w:hint="eastAsia" w:ascii="Times New Roman" w:hAnsi="Times New Roman" w:eastAsia="仿宋_GB2312"/>
          <w:b w:val="0"/>
          <w:bCs w:val="0"/>
          <w:spacing w:val="-4"/>
          <w:sz w:val="32"/>
          <w:szCs w:val="32"/>
          <w:highlight w:val="none"/>
        </w:rPr>
        <w:t>整合原有各级各类自然保护地，锚固以大熊猫国家公园为主体、自然保护区为基础、自然公园为补充的自然保护地体系</w:t>
      </w:r>
      <w:r>
        <w:rPr>
          <w:rFonts w:ascii="Times New Roman" w:hAnsi="Times New Roman" w:eastAsia="仿宋_GB2312"/>
          <w:b w:val="0"/>
          <w:bCs w:val="0"/>
          <w:spacing w:val="-4"/>
          <w:sz w:val="32"/>
          <w:szCs w:val="32"/>
          <w:highlight w:val="none"/>
        </w:rPr>
        <w:t>。</w:t>
      </w:r>
      <w:r>
        <w:rPr>
          <w:rFonts w:hint="eastAsia" w:ascii="Times New Roman" w:hAnsi="Times New Roman" w:eastAsia="仿宋_GB2312"/>
          <w:b w:val="0"/>
          <w:bCs w:val="0"/>
          <w:spacing w:val="-4"/>
          <w:sz w:val="32"/>
          <w:szCs w:val="32"/>
          <w:highlight w:val="none"/>
        </w:rPr>
        <w:t>以全面提升生物多样性为目标，建设以</w:t>
      </w:r>
      <w:r>
        <w:rPr>
          <w:rFonts w:ascii="Times New Roman" w:hAnsi="Times New Roman" w:eastAsia="仿宋_GB2312"/>
          <w:b w:val="0"/>
          <w:bCs w:val="0"/>
          <w:spacing w:val="-4"/>
          <w:sz w:val="32"/>
          <w:szCs w:val="32"/>
          <w:highlight w:val="none"/>
        </w:rPr>
        <w:t>岷江—横断山北段生物多样性保护关键地区</w:t>
      </w:r>
      <w:r>
        <w:rPr>
          <w:rFonts w:hint="eastAsia" w:ascii="Times New Roman" w:hAnsi="Times New Roman" w:eastAsia="仿宋_GB2312"/>
          <w:b w:val="0"/>
          <w:bCs w:val="0"/>
          <w:spacing w:val="-4"/>
          <w:sz w:val="32"/>
          <w:szCs w:val="32"/>
          <w:highlight w:val="none"/>
        </w:rPr>
        <w:t>、</w:t>
      </w:r>
      <w:r>
        <w:rPr>
          <w:rFonts w:ascii="Times New Roman" w:hAnsi="Times New Roman" w:eastAsia="仿宋_GB2312"/>
          <w:b w:val="0"/>
          <w:bCs w:val="0"/>
          <w:spacing w:val="-4"/>
          <w:sz w:val="32"/>
          <w:szCs w:val="32"/>
          <w:highlight w:val="none"/>
        </w:rPr>
        <w:t>野生动物生态廊道和候鸟迁飞通道</w:t>
      </w:r>
      <w:r>
        <w:rPr>
          <w:rFonts w:hint="eastAsia" w:ascii="Times New Roman" w:hAnsi="Times New Roman" w:eastAsia="仿宋_GB2312"/>
          <w:b w:val="0"/>
          <w:bCs w:val="0"/>
          <w:spacing w:val="-4"/>
          <w:sz w:val="32"/>
          <w:szCs w:val="32"/>
          <w:highlight w:val="none"/>
        </w:rPr>
        <w:t>为组成的生物多样性网络。</w:t>
      </w:r>
      <w:r>
        <w:rPr>
          <w:rFonts w:ascii="Times New Roman" w:hAnsi="Times New Roman" w:eastAsia="仿宋_GB2312"/>
          <w:b w:val="0"/>
          <w:bCs w:val="0"/>
          <w:spacing w:val="-4"/>
          <w:sz w:val="32"/>
          <w:szCs w:val="32"/>
          <w:highlight w:val="none"/>
        </w:rPr>
        <w:t>强化森林与河湖湿地等重点生态系统保护</w:t>
      </w:r>
      <w:r>
        <w:rPr>
          <w:rFonts w:hint="eastAsia" w:ascii="Times New Roman" w:hAnsi="Times New Roman" w:eastAsia="仿宋_GB2312"/>
          <w:b w:val="0"/>
          <w:bCs w:val="0"/>
          <w:spacing w:val="-4"/>
          <w:sz w:val="32"/>
          <w:szCs w:val="32"/>
          <w:highlight w:val="none"/>
        </w:rPr>
        <w:t>，分区</w:t>
      </w:r>
      <w:r>
        <w:rPr>
          <w:rFonts w:ascii="Times New Roman" w:hAnsi="Times New Roman" w:eastAsia="仿宋_GB2312"/>
          <w:b w:val="0"/>
          <w:bCs w:val="0"/>
          <w:spacing w:val="-4"/>
          <w:sz w:val="32"/>
          <w:szCs w:val="32"/>
          <w:highlight w:val="none"/>
        </w:rPr>
        <w:t>实施山水林田湖草系统修复治理</w:t>
      </w:r>
      <w:r>
        <w:rPr>
          <w:rFonts w:hint="eastAsia" w:ascii="Times New Roman" w:hAnsi="Times New Roman" w:eastAsia="仿宋_GB2312"/>
          <w:b w:val="0"/>
          <w:bCs w:val="0"/>
          <w:spacing w:val="-4"/>
          <w:sz w:val="32"/>
          <w:szCs w:val="32"/>
          <w:highlight w:val="none"/>
        </w:rPr>
        <w:t>，推进一批生态系统修复治理工程。</w:t>
      </w:r>
    </w:p>
    <w:p>
      <w:pPr>
        <w:spacing w:line="600" w:lineRule="exact"/>
        <w:ind w:firstLine="624" w:firstLineChars="200"/>
        <w:rPr>
          <w:rFonts w:ascii="楷体_GB2312" w:hAnsi="楷体_GB2312" w:eastAsia="楷体_GB2312" w:cs="楷体_GB2312"/>
          <w:b w:val="0"/>
          <w:bCs w:val="0"/>
          <w:sz w:val="32"/>
          <w:szCs w:val="32"/>
          <w:highlight w:val="none"/>
        </w:rPr>
      </w:pPr>
      <w:r>
        <w:rPr>
          <w:rFonts w:hint="eastAsia" w:ascii="Times New Roman" w:hAnsi="Times New Roman" w:eastAsia="仿宋_GB2312"/>
          <w:b w:val="0"/>
          <w:bCs w:val="0"/>
          <w:spacing w:val="-4"/>
          <w:sz w:val="32"/>
          <w:szCs w:val="32"/>
          <w:highlight w:val="none"/>
        </w:rPr>
        <w:t>（四）</w:t>
      </w:r>
      <w:r>
        <w:rPr>
          <w:rFonts w:ascii="Times New Roman" w:hAnsi="Times New Roman" w:eastAsia="仿宋_GB2312"/>
          <w:b w:val="0"/>
          <w:bCs w:val="0"/>
          <w:spacing w:val="-4"/>
          <w:sz w:val="32"/>
          <w:szCs w:val="32"/>
          <w:highlight w:val="none"/>
        </w:rPr>
        <w:t>打造引领全省高质量发展的城镇空间</w:t>
      </w:r>
    </w:p>
    <w:p>
      <w:pPr>
        <w:pStyle w:val="12"/>
        <w:numPr>
          <w:ilvl w:val="0"/>
          <w:numId w:val="0"/>
        </w:numPr>
        <w:spacing w:line="560" w:lineRule="exact"/>
        <w:ind w:firstLine="624" w:firstLineChars="200"/>
        <w:rPr>
          <w:rFonts w:ascii="Times New Roman" w:hAnsi="Times New Roman" w:eastAsia="仿宋_GB2312"/>
          <w:b w:val="0"/>
          <w:bCs w:val="0"/>
          <w:color w:val="auto"/>
          <w:szCs w:val="32"/>
          <w:highlight w:val="none"/>
        </w:rPr>
      </w:pPr>
      <w:r>
        <w:rPr>
          <w:rFonts w:ascii="Times New Roman" w:hAnsi="Times New Roman" w:eastAsia="仿宋_GB2312"/>
          <w:b w:val="0"/>
          <w:bCs w:val="0"/>
          <w:color w:val="auto"/>
          <w:szCs w:val="32"/>
          <w:highlight w:val="none"/>
        </w:rPr>
        <w:t>深入推进以人为核心的新型城镇化，有序推进本地人口城镇化，积极吸引省外人才流入，推动流出人口回流，优化人口结构。推动各级城镇协调发展，形成中心城市带动都市圈、都市圈引领</w:t>
      </w:r>
      <w:r>
        <w:rPr>
          <w:rFonts w:hint="eastAsia" w:ascii="Times New Roman" w:hAnsi="Times New Roman" w:eastAsia="仿宋_GB2312"/>
          <w:b w:val="0"/>
          <w:bCs w:val="0"/>
          <w:color w:val="auto"/>
          <w:szCs w:val="32"/>
          <w:highlight w:val="none"/>
        </w:rPr>
        <w:t>经济区</w:t>
      </w:r>
      <w:r>
        <w:rPr>
          <w:rFonts w:ascii="Times New Roman" w:hAnsi="Times New Roman" w:eastAsia="仿宋_GB2312"/>
          <w:b w:val="0"/>
          <w:bCs w:val="0"/>
          <w:color w:val="auto"/>
          <w:szCs w:val="32"/>
          <w:highlight w:val="none"/>
        </w:rPr>
        <w:t>的</w:t>
      </w:r>
      <w:r>
        <w:rPr>
          <w:rFonts w:hint="eastAsia" w:ascii="Times New Roman" w:hAnsi="Times New Roman" w:eastAsia="仿宋_GB2312"/>
          <w:b w:val="0"/>
          <w:bCs w:val="0"/>
          <w:color w:val="auto"/>
          <w:szCs w:val="32"/>
          <w:highlight w:val="none"/>
        </w:rPr>
        <w:t>空间</w:t>
      </w:r>
      <w:r>
        <w:rPr>
          <w:rFonts w:ascii="Times New Roman" w:hAnsi="Times New Roman" w:eastAsia="仿宋_GB2312"/>
          <w:b w:val="0"/>
          <w:bCs w:val="0"/>
          <w:color w:val="auto"/>
          <w:szCs w:val="32"/>
          <w:highlight w:val="none"/>
        </w:rPr>
        <w:t>动力机制，全面增强城镇综合承载能力，提升人口经济集聚效应。</w:t>
      </w:r>
      <w:r>
        <w:rPr>
          <w:rFonts w:hint="eastAsia" w:ascii="Times New Roman" w:hAnsi="Times New Roman" w:eastAsia="仿宋_GB2312"/>
          <w:b w:val="0"/>
          <w:bCs w:val="0"/>
          <w:color w:val="auto"/>
          <w:szCs w:val="32"/>
          <w:highlight w:val="none"/>
        </w:rPr>
        <w:t>重点</w:t>
      </w:r>
      <w:r>
        <w:rPr>
          <w:rFonts w:ascii="Times New Roman" w:hAnsi="Times New Roman" w:eastAsia="仿宋_GB2312"/>
          <w:b w:val="0"/>
          <w:bCs w:val="0"/>
          <w:color w:val="auto"/>
          <w:szCs w:val="32"/>
          <w:highlight w:val="none"/>
        </w:rPr>
        <w:t>完善公共服务配套</w:t>
      </w:r>
      <w:r>
        <w:rPr>
          <w:rFonts w:hint="eastAsia" w:ascii="Times New Roman" w:hAnsi="Times New Roman" w:eastAsia="仿宋_GB2312"/>
          <w:b w:val="0"/>
          <w:bCs w:val="0"/>
          <w:color w:val="auto"/>
          <w:szCs w:val="32"/>
          <w:highlight w:val="none"/>
        </w:rPr>
        <w:t>体系，塑造城园相融、各具特色的形态风貌，增强城镇的安全韧性和打造绿色低碳的生产生活方式，促进城镇功能完善和品质提升。通过</w:t>
      </w:r>
      <w:r>
        <w:rPr>
          <w:rFonts w:ascii="Times New Roman" w:hAnsi="Times New Roman" w:eastAsia="仿宋_GB2312"/>
          <w:b w:val="0"/>
          <w:bCs w:val="0"/>
          <w:color w:val="auto"/>
          <w:szCs w:val="32"/>
          <w:highlight w:val="none"/>
        </w:rPr>
        <w:t>培育</w:t>
      </w:r>
      <w:r>
        <w:rPr>
          <w:rFonts w:hint="eastAsia" w:ascii="Times New Roman" w:hAnsi="Times New Roman" w:eastAsia="仿宋_GB2312"/>
          <w:b w:val="0"/>
          <w:bCs w:val="0"/>
          <w:color w:val="auto"/>
          <w:szCs w:val="32"/>
          <w:highlight w:val="none"/>
        </w:rPr>
        <w:t>一批</w:t>
      </w:r>
      <w:r>
        <w:rPr>
          <w:rFonts w:ascii="Times New Roman" w:hAnsi="Times New Roman" w:eastAsia="仿宋_GB2312"/>
          <w:b w:val="0"/>
          <w:bCs w:val="0"/>
          <w:color w:val="auto"/>
          <w:szCs w:val="32"/>
          <w:highlight w:val="none"/>
        </w:rPr>
        <w:t>现代化产业集群</w:t>
      </w:r>
      <w:r>
        <w:rPr>
          <w:rFonts w:hint="eastAsia" w:ascii="Times New Roman" w:hAnsi="Times New Roman" w:eastAsia="仿宋_GB2312"/>
          <w:b w:val="0"/>
          <w:bCs w:val="0"/>
          <w:color w:val="auto"/>
          <w:szCs w:val="32"/>
          <w:highlight w:val="none"/>
        </w:rPr>
        <w:t>、</w:t>
      </w:r>
      <w:r>
        <w:rPr>
          <w:rFonts w:ascii="Times New Roman" w:hAnsi="Times New Roman" w:eastAsia="仿宋_GB2312"/>
          <w:b w:val="0"/>
          <w:bCs w:val="0"/>
          <w:color w:val="auto"/>
          <w:szCs w:val="32"/>
          <w:highlight w:val="none"/>
        </w:rPr>
        <w:t>整合区域创新空间资源，统筹布局开放平台资源，</w:t>
      </w:r>
      <w:r>
        <w:rPr>
          <w:rFonts w:hint="eastAsia" w:ascii="Times New Roman" w:hAnsi="Times New Roman" w:eastAsia="仿宋_GB2312"/>
          <w:b w:val="0"/>
          <w:bCs w:val="0"/>
          <w:color w:val="auto"/>
          <w:szCs w:val="32"/>
          <w:highlight w:val="none"/>
        </w:rPr>
        <w:t>协同提升区域竞争力、创新力和开放水平。有序推进土地节约集约利用和城市有机更新。</w:t>
      </w:r>
    </w:p>
    <w:p>
      <w:pPr>
        <w:spacing w:line="600" w:lineRule="exact"/>
        <w:ind w:firstLine="640" w:firstLineChars="200"/>
        <w:outlineLvl w:val="1"/>
        <w:rPr>
          <w:rFonts w:ascii="楷体_GB2312" w:hAnsi="楷体_GB2312" w:eastAsia="楷体_GB2312" w:cs="楷体_GB2312"/>
          <w:b w:val="0"/>
          <w:bCs w:val="0"/>
          <w:sz w:val="32"/>
          <w:szCs w:val="32"/>
          <w:highlight w:val="none"/>
        </w:rPr>
      </w:pPr>
      <w:r>
        <w:rPr>
          <w:rFonts w:hint="eastAsia" w:ascii="楷体_GB2312" w:hAnsi="楷体_GB2312" w:eastAsia="楷体_GB2312" w:cs="楷体_GB2312"/>
          <w:b w:val="0"/>
          <w:bCs w:val="0"/>
          <w:sz w:val="32"/>
          <w:szCs w:val="32"/>
          <w:highlight w:val="none"/>
        </w:rPr>
        <w:t>（五）全面推进乡村振兴</w:t>
      </w:r>
    </w:p>
    <w:p>
      <w:pPr>
        <w:spacing w:line="560" w:lineRule="exact"/>
        <w:ind w:firstLine="672" w:firstLineChars="200"/>
        <w:rPr>
          <w:rFonts w:ascii="Times New Roman" w:hAnsi="Times New Roman" w:eastAsia="仿宋_GB2312"/>
          <w:b w:val="0"/>
          <w:bCs w:val="0"/>
          <w:spacing w:val="-4"/>
          <w:sz w:val="32"/>
          <w:szCs w:val="32"/>
          <w:highlight w:val="none"/>
        </w:rPr>
      </w:pPr>
      <w:r>
        <w:rPr>
          <w:rFonts w:hint="eastAsia" w:ascii="Times New Roman" w:eastAsia="仿宋_GB2312"/>
          <w:b w:val="0"/>
          <w:bCs w:val="0"/>
          <w:spacing w:val="8"/>
          <w:sz w:val="32"/>
          <w:szCs w:val="32"/>
          <w:highlight w:val="none"/>
        </w:rPr>
        <w:t>推进经济区与行政区适度分离，</w:t>
      </w:r>
      <w:r>
        <w:rPr>
          <w:rFonts w:ascii="Times New Roman" w:hAnsi="Times New Roman" w:eastAsia="仿宋_GB2312"/>
          <w:b w:val="0"/>
          <w:bCs w:val="0"/>
          <w:spacing w:val="-4"/>
          <w:sz w:val="32"/>
          <w:szCs w:val="32"/>
          <w:highlight w:val="none"/>
        </w:rPr>
        <w:t>按照城市和乡村融合的理念，依托旅游轨道、旅游公路，串联特色农业产业资源，植入创新、文化、旅游、商贸等城市功能和产业功能，构建8条乡村振兴示范走廊</w:t>
      </w:r>
      <w:r>
        <w:rPr>
          <w:rFonts w:hint="eastAsia" w:ascii="Times New Roman" w:hAnsi="Times New Roman" w:eastAsia="仿宋_GB2312"/>
          <w:b w:val="0"/>
          <w:bCs w:val="0"/>
          <w:spacing w:val="-4"/>
          <w:sz w:val="32"/>
          <w:szCs w:val="32"/>
          <w:highlight w:val="none"/>
        </w:rPr>
        <w:t>。以</w:t>
      </w:r>
      <w:r>
        <w:rPr>
          <w:rFonts w:ascii="Times New Roman" w:hAnsi="Times New Roman" w:eastAsia="仿宋_GB2312"/>
          <w:b w:val="0"/>
          <w:bCs w:val="0"/>
          <w:spacing w:val="-4"/>
          <w:sz w:val="32"/>
          <w:szCs w:val="32"/>
          <w:highlight w:val="none"/>
        </w:rPr>
        <w:t>乡村振兴示范走廊</w:t>
      </w:r>
      <w:r>
        <w:rPr>
          <w:rFonts w:hint="eastAsia" w:ascii="Times New Roman" w:hAnsi="Times New Roman" w:eastAsia="仿宋_GB2312"/>
          <w:b w:val="0"/>
          <w:bCs w:val="0"/>
          <w:spacing w:val="-4"/>
          <w:sz w:val="32"/>
          <w:szCs w:val="32"/>
          <w:highlight w:val="none"/>
        </w:rPr>
        <w:t>为带动，以城乡融合发展片区为单元，</w:t>
      </w:r>
      <w:r>
        <w:rPr>
          <w:rFonts w:ascii="Times New Roman" w:hAnsi="Times New Roman" w:eastAsia="仿宋_GB2312"/>
          <w:b w:val="0"/>
          <w:bCs w:val="0"/>
          <w:spacing w:val="-4"/>
          <w:sz w:val="32"/>
          <w:szCs w:val="32"/>
          <w:highlight w:val="none"/>
        </w:rPr>
        <w:t>优化县域经济地理版图</w:t>
      </w:r>
      <w:r>
        <w:rPr>
          <w:rFonts w:hint="eastAsia" w:ascii="Times New Roman" w:hAnsi="Times New Roman" w:eastAsia="仿宋_GB2312"/>
          <w:b w:val="0"/>
          <w:bCs w:val="0"/>
          <w:spacing w:val="-4"/>
          <w:sz w:val="32"/>
          <w:szCs w:val="32"/>
          <w:highlight w:val="none"/>
        </w:rPr>
        <w:t>，</w:t>
      </w:r>
      <w:r>
        <w:rPr>
          <w:rFonts w:ascii="Times New Roman" w:hAnsi="Times New Roman" w:eastAsia="仿宋_GB2312"/>
          <w:b w:val="0"/>
          <w:bCs w:val="0"/>
          <w:spacing w:val="-4"/>
          <w:sz w:val="32"/>
          <w:szCs w:val="32"/>
          <w:highlight w:val="none"/>
        </w:rPr>
        <w:t>统筹新型城镇化发展和乡村全面振兴</w:t>
      </w:r>
      <w:r>
        <w:rPr>
          <w:rFonts w:hint="eastAsia" w:ascii="Times New Roman" w:hAnsi="Times New Roman" w:eastAsia="仿宋_GB2312"/>
          <w:b w:val="0"/>
          <w:bCs w:val="0"/>
          <w:spacing w:val="-4"/>
          <w:sz w:val="32"/>
          <w:szCs w:val="32"/>
          <w:highlight w:val="none"/>
        </w:rPr>
        <w:t>。</w:t>
      </w:r>
      <w:r>
        <w:rPr>
          <w:rFonts w:ascii="Times New Roman" w:hAnsi="Times New Roman" w:eastAsia="仿宋_GB2312"/>
          <w:b w:val="0"/>
          <w:bCs w:val="0"/>
          <w:spacing w:val="-4"/>
          <w:sz w:val="32"/>
          <w:szCs w:val="32"/>
          <w:highlight w:val="none"/>
        </w:rPr>
        <w:t>开展乡村社区生活圈建设</w:t>
      </w:r>
      <w:r>
        <w:rPr>
          <w:rFonts w:hint="eastAsia" w:ascii="Times New Roman" w:hAnsi="Times New Roman" w:eastAsia="仿宋_GB2312"/>
          <w:b w:val="0"/>
          <w:bCs w:val="0"/>
          <w:spacing w:val="-4"/>
          <w:sz w:val="32"/>
          <w:szCs w:val="32"/>
          <w:highlight w:val="none"/>
        </w:rPr>
        <w:t>，</w:t>
      </w:r>
      <w:r>
        <w:rPr>
          <w:rFonts w:ascii="Times New Roman" w:hAnsi="Times New Roman" w:eastAsia="仿宋_GB2312"/>
          <w:b w:val="0"/>
          <w:bCs w:val="0"/>
          <w:spacing w:val="-4"/>
          <w:sz w:val="32"/>
          <w:szCs w:val="32"/>
          <w:highlight w:val="none"/>
        </w:rPr>
        <w:t>优化乡村产业融合发展布局</w:t>
      </w:r>
      <w:r>
        <w:rPr>
          <w:rFonts w:hint="eastAsia" w:ascii="Times New Roman" w:hAnsi="Times New Roman" w:eastAsia="仿宋_GB2312"/>
          <w:b w:val="0"/>
          <w:bCs w:val="0"/>
          <w:spacing w:val="-4"/>
          <w:sz w:val="32"/>
          <w:szCs w:val="32"/>
          <w:highlight w:val="none"/>
        </w:rPr>
        <w:t>，</w:t>
      </w:r>
      <w:r>
        <w:rPr>
          <w:rFonts w:ascii="Times New Roman" w:hAnsi="Times New Roman" w:eastAsia="仿宋_GB2312"/>
          <w:b w:val="0"/>
          <w:bCs w:val="0"/>
          <w:spacing w:val="-4"/>
          <w:sz w:val="32"/>
          <w:szCs w:val="32"/>
          <w:highlight w:val="none"/>
        </w:rPr>
        <w:t>推进乡村人居环境整治</w:t>
      </w:r>
      <w:r>
        <w:rPr>
          <w:rFonts w:hint="eastAsia" w:ascii="Times New Roman" w:hAnsi="Times New Roman" w:eastAsia="仿宋_GB2312"/>
          <w:b w:val="0"/>
          <w:bCs w:val="0"/>
          <w:spacing w:val="-4"/>
          <w:sz w:val="32"/>
          <w:szCs w:val="32"/>
          <w:highlight w:val="none"/>
        </w:rPr>
        <w:t>，全面提升乡村生态生活生产品质。通过引导农村居民点空间布局优化、推动</w:t>
      </w:r>
      <w:r>
        <w:rPr>
          <w:rFonts w:ascii="Times New Roman" w:hAnsi="Times New Roman" w:eastAsia="仿宋_GB2312"/>
          <w:b w:val="0"/>
          <w:bCs w:val="0"/>
          <w:spacing w:val="-4"/>
          <w:sz w:val="32"/>
          <w:szCs w:val="32"/>
          <w:highlight w:val="none"/>
        </w:rPr>
        <w:t>彰显地域特色的乡村风貌</w:t>
      </w:r>
      <w:r>
        <w:rPr>
          <w:rFonts w:hint="eastAsia" w:ascii="Times New Roman" w:hAnsi="Times New Roman" w:eastAsia="仿宋_GB2312"/>
          <w:b w:val="0"/>
          <w:bCs w:val="0"/>
          <w:spacing w:val="-4"/>
          <w:sz w:val="32"/>
          <w:szCs w:val="32"/>
          <w:highlight w:val="none"/>
        </w:rPr>
        <w:t>管控，塑造具有成都平原特色的乡村形态。</w:t>
      </w:r>
    </w:p>
    <w:p>
      <w:pPr>
        <w:spacing w:line="560" w:lineRule="exact"/>
        <w:ind w:firstLine="624" w:firstLineChars="200"/>
        <w:rPr>
          <w:rFonts w:ascii="Times New Roman" w:hAnsi="Times New Roman" w:eastAsia="仿宋_GB2312"/>
          <w:b w:val="0"/>
          <w:bCs w:val="0"/>
          <w:spacing w:val="-4"/>
          <w:sz w:val="32"/>
          <w:szCs w:val="32"/>
          <w:highlight w:val="none"/>
        </w:rPr>
      </w:pPr>
      <w:r>
        <w:rPr>
          <w:rFonts w:hint="eastAsia" w:ascii="Times New Roman" w:hAnsi="Times New Roman" w:eastAsia="仿宋_GB2312"/>
          <w:b w:val="0"/>
          <w:bCs w:val="0"/>
          <w:spacing w:val="-4"/>
          <w:sz w:val="32"/>
          <w:szCs w:val="32"/>
          <w:highlight w:val="none"/>
        </w:rPr>
        <w:t>（六）严守战略资源与人居环境安全底线</w:t>
      </w:r>
    </w:p>
    <w:p>
      <w:pPr>
        <w:spacing w:line="560" w:lineRule="exact"/>
        <w:ind w:firstLine="624" w:firstLineChars="200"/>
        <w:rPr>
          <w:rFonts w:ascii="Times New Roman" w:hAnsi="Times New Roman" w:eastAsia="仿宋_GB2312"/>
          <w:b w:val="0"/>
          <w:bCs w:val="0"/>
          <w:spacing w:val="-4"/>
          <w:sz w:val="32"/>
          <w:szCs w:val="32"/>
          <w:highlight w:val="none"/>
        </w:rPr>
      </w:pPr>
      <w:r>
        <w:rPr>
          <w:rFonts w:hint="eastAsia" w:ascii="Times New Roman" w:hAnsi="Times New Roman" w:eastAsia="仿宋_GB2312"/>
          <w:b w:val="0"/>
          <w:bCs w:val="0"/>
          <w:spacing w:val="-4"/>
          <w:sz w:val="32"/>
          <w:szCs w:val="32"/>
          <w:highlight w:val="none"/>
        </w:rPr>
        <w:t>保障水安全，加强水资源安全空间保护管控，统筹区域重大水利设施，加快构建现代水网体系，加强重要流域协同治理。保障能源安全，优化能源矿产开发空间布局，推进能源产业、矿业绿色发展。通过</w:t>
      </w:r>
      <w:r>
        <w:rPr>
          <w:rFonts w:ascii="Times New Roman" w:hAnsi="Times New Roman" w:eastAsia="仿宋_GB2312"/>
          <w:b w:val="0"/>
          <w:bCs w:val="0"/>
          <w:spacing w:val="-4"/>
          <w:sz w:val="32"/>
          <w:szCs w:val="32"/>
          <w:highlight w:val="none"/>
        </w:rPr>
        <w:t>提高地震灾害防御能力</w:t>
      </w:r>
      <w:r>
        <w:rPr>
          <w:rFonts w:hint="eastAsia" w:ascii="Times New Roman" w:hAnsi="Times New Roman" w:eastAsia="仿宋_GB2312"/>
          <w:b w:val="0"/>
          <w:bCs w:val="0"/>
          <w:spacing w:val="-4"/>
          <w:sz w:val="32"/>
          <w:szCs w:val="32"/>
          <w:highlight w:val="none"/>
        </w:rPr>
        <w:t>，</w:t>
      </w:r>
      <w:r>
        <w:rPr>
          <w:rFonts w:ascii="Times New Roman" w:hAnsi="Times New Roman" w:eastAsia="仿宋_GB2312"/>
          <w:b w:val="0"/>
          <w:bCs w:val="0"/>
          <w:spacing w:val="-4"/>
          <w:sz w:val="32"/>
          <w:szCs w:val="32"/>
          <w:highlight w:val="none"/>
        </w:rPr>
        <w:t>加大地质灾害防范应对力度</w:t>
      </w:r>
      <w:r>
        <w:rPr>
          <w:rFonts w:hint="eastAsia" w:ascii="Times New Roman" w:hAnsi="Times New Roman" w:eastAsia="仿宋_GB2312"/>
          <w:b w:val="0"/>
          <w:bCs w:val="0"/>
          <w:spacing w:val="-4"/>
          <w:sz w:val="32"/>
          <w:szCs w:val="32"/>
          <w:highlight w:val="none"/>
        </w:rPr>
        <w:t>，</w:t>
      </w:r>
      <w:r>
        <w:rPr>
          <w:rFonts w:ascii="Times New Roman" w:hAnsi="Times New Roman" w:eastAsia="仿宋_GB2312"/>
          <w:b w:val="0"/>
          <w:bCs w:val="0"/>
          <w:spacing w:val="-4"/>
          <w:sz w:val="32"/>
          <w:szCs w:val="32"/>
          <w:highlight w:val="none"/>
        </w:rPr>
        <w:t>完善区域联防和应急救援机制</w:t>
      </w:r>
      <w:r>
        <w:rPr>
          <w:rFonts w:hint="eastAsia" w:ascii="Times New Roman" w:hAnsi="Times New Roman" w:eastAsia="仿宋_GB2312"/>
          <w:b w:val="0"/>
          <w:bCs w:val="0"/>
          <w:spacing w:val="-4"/>
          <w:sz w:val="32"/>
          <w:szCs w:val="32"/>
          <w:highlight w:val="none"/>
        </w:rPr>
        <w:t>，强化地质灾害防御和综合防灾减灾能力。加快完善大气联防联控机制，协同推进大气污染综合治理，提升空气质量。</w:t>
      </w:r>
    </w:p>
    <w:p>
      <w:pPr>
        <w:spacing w:line="560" w:lineRule="exact"/>
        <w:ind w:firstLine="624" w:firstLineChars="200"/>
        <w:rPr>
          <w:rFonts w:ascii="Times New Roman" w:hAnsi="Times New Roman" w:eastAsia="仿宋_GB2312"/>
          <w:b w:val="0"/>
          <w:bCs w:val="0"/>
          <w:spacing w:val="-4"/>
          <w:sz w:val="32"/>
          <w:szCs w:val="32"/>
          <w:highlight w:val="none"/>
        </w:rPr>
      </w:pPr>
      <w:r>
        <w:rPr>
          <w:rFonts w:hint="eastAsia" w:ascii="Times New Roman" w:hAnsi="Times New Roman" w:eastAsia="仿宋_GB2312"/>
          <w:b w:val="0"/>
          <w:bCs w:val="0"/>
          <w:spacing w:val="-4"/>
          <w:sz w:val="32"/>
          <w:szCs w:val="32"/>
          <w:highlight w:val="none"/>
        </w:rPr>
        <w:t>（七）建设现代基础设施网络</w:t>
      </w:r>
    </w:p>
    <w:p>
      <w:pPr>
        <w:spacing w:line="560" w:lineRule="exact"/>
        <w:ind w:firstLine="624" w:firstLineChars="200"/>
        <w:rPr>
          <w:rFonts w:ascii="Times New Roman" w:hAnsi="Times New Roman"/>
          <w:b w:val="0"/>
          <w:bCs w:val="0"/>
          <w:highlight w:val="none"/>
        </w:rPr>
      </w:pPr>
      <w:r>
        <w:rPr>
          <w:rFonts w:hint="eastAsia" w:ascii="Times New Roman" w:hAnsi="Times New Roman" w:eastAsia="仿宋_GB2312"/>
          <w:b w:val="0"/>
          <w:bCs w:val="0"/>
          <w:spacing w:val="-4"/>
          <w:sz w:val="32"/>
          <w:szCs w:val="32"/>
          <w:highlight w:val="none"/>
        </w:rPr>
        <w:t>通过完善</w:t>
      </w:r>
      <w:r>
        <w:rPr>
          <w:rFonts w:ascii="Times New Roman" w:hAnsi="Times New Roman" w:eastAsia="仿宋_GB2312"/>
          <w:b w:val="0"/>
          <w:bCs w:val="0"/>
          <w:spacing w:val="-4"/>
          <w:sz w:val="32"/>
          <w:szCs w:val="32"/>
          <w:highlight w:val="none"/>
        </w:rPr>
        <w:t>高效枢纽体系</w:t>
      </w:r>
      <w:r>
        <w:rPr>
          <w:rFonts w:hint="eastAsia" w:ascii="Times New Roman" w:hAnsi="Times New Roman" w:eastAsia="仿宋_GB2312"/>
          <w:b w:val="0"/>
          <w:bCs w:val="0"/>
          <w:spacing w:val="-4"/>
          <w:sz w:val="32"/>
          <w:szCs w:val="32"/>
          <w:highlight w:val="none"/>
        </w:rPr>
        <w:t>、</w:t>
      </w:r>
      <w:r>
        <w:rPr>
          <w:rFonts w:ascii="Times New Roman" w:hAnsi="Times New Roman" w:eastAsia="仿宋_GB2312"/>
          <w:b w:val="0"/>
          <w:bCs w:val="0"/>
          <w:spacing w:val="-4"/>
          <w:sz w:val="32"/>
          <w:szCs w:val="32"/>
          <w:highlight w:val="none"/>
        </w:rPr>
        <w:t>对外交通走廊</w:t>
      </w:r>
      <w:r>
        <w:rPr>
          <w:rFonts w:hint="eastAsia" w:ascii="Times New Roman" w:hAnsi="Times New Roman" w:eastAsia="仿宋_GB2312"/>
          <w:b w:val="0"/>
          <w:bCs w:val="0"/>
          <w:spacing w:val="-4"/>
          <w:sz w:val="32"/>
          <w:szCs w:val="32"/>
          <w:highlight w:val="none"/>
        </w:rPr>
        <w:t>、</w:t>
      </w:r>
      <w:r>
        <w:rPr>
          <w:rFonts w:ascii="Times New Roman" w:hAnsi="Times New Roman" w:eastAsia="仿宋_GB2312"/>
          <w:b w:val="0"/>
          <w:bCs w:val="0"/>
          <w:spacing w:val="-4"/>
          <w:sz w:val="32"/>
          <w:szCs w:val="32"/>
          <w:highlight w:val="none"/>
        </w:rPr>
        <w:t>立体交通网络</w:t>
      </w:r>
      <w:r>
        <w:rPr>
          <w:rFonts w:hint="eastAsia" w:ascii="Times New Roman" w:hAnsi="Times New Roman" w:eastAsia="仿宋_GB2312"/>
          <w:b w:val="0"/>
          <w:bCs w:val="0"/>
          <w:spacing w:val="-4"/>
          <w:sz w:val="32"/>
          <w:szCs w:val="32"/>
          <w:highlight w:val="none"/>
        </w:rPr>
        <w:t>，构建外通内联、立体畅达的综合交通网络。优化区域电力、石油、天然气等能源供应结构，提升区域能源基础设施互联互通互济水平，推动调峰和应急保障等设施共建共享，构建协同共享、保障有力的区域性基础设施系统。加强建设用地集约利用管理，</w:t>
      </w:r>
      <w:r>
        <w:rPr>
          <w:rFonts w:ascii="Times New Roman" w:hAnsi="Times New Roman" w:eastAsia="仿宋_GB2312"/>
          <w:b w:val="0"/>
          <w:bCs w:val="0"/>
          <w:spacing w:val="-4"/>
          <w:sz w:val="32"/>
          <w:szCs w:val="32"/>
          <w:highlight w:val="none"/>
        </w:rPr>
        <w:t>推动重大基础设施用地节约集约利用</w:t>
      </w:r>
      <w:r>
        <w:rPr>
          <w:rFonts w:hint="eastAsia" w:ascii="Times New Roman" w:hAnsi="Times New Roman" w:eastAsia="仿宋_GB2312"/>
          <w:b w:val="0"/>
          <w:bCs w:val="0"/>
          <w:spacing w:val="-4"/>
          <w:sz w:val="32"/>
          <w:szCs w:val="32"/>
          <w:highlight w:val="none"/>
        </w:rPr>
        <w:t>，避免浪费土地资源。</w:t>
      </w:r>
    </w:p>
    <w:p>
      <w:pPr>
        <w:spacing w:line="560" w:lineRule="exact"/>
        <w:ind w:firstLine="624" w:firstLineChars="200"/>
        <w:rPr>
          <w:rFonts w:ascii="Times New Roman" w:hAnsi="Times New Roman" w:eastAsia="仿宋_GB2312"/>
          <w:b w:val="0"/>
          <w:bCs w:val="0"/>
          <w:spacing w:val="-4"/>
          <w:sz w:val="32"/>
          <w:szCs w:val="32"/>
          <w:highlight w:val="none"/>
        </w:rPr>
      </w:pPr>
      <w:r>
        <w:rPr>
          <w:rFonts w:hint="eastAsia" w:ascii="Times New Roman" w:hAnsi="Times New Roman" w:eastAsia="仿宋_GB2312"/>
          <w:b w:val="0"/>
          <w:bCs w:val="0"/>
          <w:spacing w:val="-4"/>
          <w:sz w:val="32"/>
          <w:szCs w:val="32"/>
          <w:highlight w:val="none"/>
        </w:rPr>
        <w:t>（八）提升自然人文交相辉映的空间魅力</w:t>
      </w:r>
    </w:p>
    <w:p>
      <w:pPr>
        <w:spacing w:line="560" w:lineRule="exact"/>
        <w:ind w:firstLine="624" w:firstLineChars="200"/>
        <w:rPr>
          <w:rFonts w:hint="eastAsia" w:ascii="Times New Roman" w:hAnsi="Times New Roman" w:eastAsia="仿宋_GB2312"/>
          <w:b w:val="0"/>
          <w:bCs w:val="0"/>
          <w:spacing w:val="-4"/>
          <w:sz w:val="32"/>
          <w:szCs w:val="32"/>
          <w:highlight w:val="none"/>
        </w:rPr>
      </w:pPr>
      <w:r>
        <w:rPr>
          <w:rFonts w:hint="eastAsia" w:ascii="Times New Roman" w:hAnsi="Times New Roman" w:eastAsia="仿宋_GB2312"/>
          <w:b w:val="0"/>
          <w:bCs w:val="0"/>
          <w:spacing w:val="-4"/>
          <w:sz w:val="32"/>
          <w:szCs w:val="32"/>
          <w:highlight w:val="none"/>
        </w:rPr>
        <w:t>构建自然和文化遗产保护体系，加强世界和国家遗产地保护建设，严格保护历史文化名城、名镇、名村及传统村落和各级风景名胜区。以风景名胜区和旅游区为主要载体，统筹自然景观资源与历史文化资源，协同构建巴蜀文化新高地、建设两条巴蜀文化旅游带、打造三个文化旅游协同发展区协同，推动形成特色鲜明的全域魅力景观网络。</w:t>
      </w:r>
    </w:p>
    <w:p>
      <w:pPr>
        <w:spacing w:line="560" w:lineRule="exact"/>
        <w:ind w:firstLine="624" w:firstLineChars="200"/>
        <w:rPr>
          <w:rFonts w:ascii="Times New Roman" w:hAnsi="Times New Roman" w:eastAsia="仿宋_GB2312"/>
          <w:b w:val="0"/>
          <w:bCs w:val="0"/>
          <w:spacing w:val="-4"/>
          <w:sz w:val="32"/>
          <w:szCs w:val="32"/>
          <w:highlight w:val="none"/>
        </w:rPr>
      </w:pPr>
      <w:r>
        <w:rPr>
          <w:rFonts w:hint="eastAsia" w:ascii="Times New Roman" w:hAnsi="Times New Roman" w:eastAsia="仿宋_GB2312"/>
          <w:b w:val="0"/>
          <w:bCs w:val="0"/>
          <w:spacing w:val="-4"/>
          <w:sz w:val="32"/>
          <w:szCs w:val="32"/>
          <w:highlight w:val="none"/>
        </w:rPr>
        <w:t>（八）加强多层次区域协作</w:t>
      </w:r>
    </w:p>
    <w:p>
      <w:pPr>
        <w:spacing w:line="560" w:lineRule="exact"/>
        <w:ind w:firstLine="624" w:firstLineChars="200"/>
        <w:rPr>
          <w:rFonts w:hint="eastAsia" w:ascii="Times New Roman" w:hAnsi="Times New Roman" w:eastAsia="仿宋_GB2312"/>
          <w:b w:val="0"/>
          <w:bCs w:val="0"/>
          <w:spacing w:val="-4"/>
          <w:sz w:val="32"/>
          <w:szCs w:val="32"/>
          <w:highlight w:val="none"/>
        </w:rPr>
      </w:pPr>
      <w:bookmarkStart w:id="0" w:name="_GoBack"/>
      <w:r>
        <w:rPr>
          <w:rFonts w:hint="eastAsia" w:ascii="Times New Roman" w:hAnsi="Times New Roman" w:eastAsia="仿宋_GB2312"/>
          <w:b w:val="0"/>
          <w:bCs w:val="0"/>
          <w:spacing w:val="-4"/>
          <w:sz w:val="32"/>
          <w:szCs w:val="32"/>
          <w:highlight w:val="none"/>
        </w:rPr>
        <w:t>加快成德眉资同城化进程，以“三区三带”为核心重点功能载体，打造成德眉资创新共同体、高能级产业生态圈、轨道上的都市圈、公共服务均衡共享优质生活圈。推动成渝“双圈”互动，做强成渝城市发展主轴，共建畅达高效交通网，推进区域协同建设国家创新中心和科技产业基地，共建巴蜀文化旅游走廊，推动川渝毗邻地区协同发展，构建多层次协作机制。推动八市协同发展，以成德眉资同城化地区为先导，推动一批跨市域合作示范区建设。7个毗邻地区开展毗邻地区融合发展试点。推动与其他四大片区协同发展。</w:t>
      </w:r>
    </w:p>
    <w:bookmarkEnd w:id="0"/>
    <w:p>
      <w:pPr>
        <w:rPr>
          <w:b w:val="0"/>
          <w:bCs w:val="0"/>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08ECE2"/>
    <w:multiLevelType w:val="multilevel"/>
    <w:tmpl w:val="6408ECE2"/>
    <w:lvl w:ilvl="0" w:tentative="0">
      <w:start w:val="1"/>
      <w:numFmt w:val="chineseCountingThousand"/>
      <w:pStyle w:val="12"/>
      <w:lvlText w:val="%1、"/>
      <w:lvlJc w:val="left"/>
      <w:pPr>
        <w:ind w:left="1130" w:hanging="420"/>
      </w:pPr>
    </w:lvl>
    <w:lvl w:ilvl="1" w:tentative="0">
      <w:start w:val="1"/>
      <w:numFmt w:val="lowerLetter"/>
      <w:lvlText w:val="%2)"/>
      <w:lvlJc w:val="left"/>
      <w:pPr>
        <w:ind w:left="1550" w:hanging="420"/>
      </w:pPr>
    </w:lvl>
    <w:lvl w:ilvl="2" w:tentative="0">
      <w:start w:val="1"/>
      <w:numFmt w:val="lowerRoman"/>
      <w:lvlText w:val="%3."/>
      <w:lvlJc w:val="right"/>
      <w:pPr>
        <w:ind w:left="1970" w:hanging="420"/>
      </w:pPr>
    </w:lvl>
    <w:lvl w:ilvl="3" w:tentative="0">
      <w:start w:val="1"/>
      <w:numFmt w:val="decimal"/>
      <w:lvlText w:val="%4."/>
      <w:lvlJc w:val="left"/>
      <w:pPr>
        <w:ind w:left="2390" w:hanging="420"/>
      </w:pPr>
    </w:lvl>
    <w:lvl w:ilvl="4" w:tentative="0">
      <w:start w:val="1"/>
      <w:numFmt w:val="lowerLetter"/>
      <w:lvlText w:val="%5)"/>
      <w:lvlJc w:val="left"/>
      <w:pPr>
        <w:ind w:left="2810" w:hanging="420"/>
      </w:pPr>
    </w:lvl>
    <w:lvl w:ilvl="5" w:tentative="0">
      <w:start w:val="1"/>
      <w:numFmt w:val="lowerRoman"/>
      <w:lvlText w:val="%6."/>
      <w:lvlJc w:val="right"/>
      <w:pPr>
        <w:ind w:left="3230" w:hanging="420"/>
      </w:pPr>
    </w:lvl>
    <w:lvl w:ilvl="6" w:tentative="0">
      <w:start w:val="1"/>
      <w:numFmt w:val="decimal"/>
      <w:lvlText w:val="%7."/>
      <w:lvlJc w:val="left"/>
      <w:pPr>
        <w:ind w:left="3650" w:hanging="420"/>
      </w:pPr>
    </w:lvl>
    <w:lvl w:ilvl="7" w:tentative="0">
      <w:start w:val="1"/>
      <w:numFmt w:val="lowerLetter"/>
      <w:lvlText w:val="%8)"/>
      <w:lvlJc w:val="left"/>
      <w:pPr>
        <w:ind w:left="4070" w:hanging="420"/>
      </w:pPr>
    </w:lvl>
    <w:lvl w:ilvl="8" w:tentative="0">
      <w:start w:val="1"/>
      <w:numFmt w:val="lowerRoman"/>
      <w:lvlText w:val="%9."/>
      <w:lvlJc w:val="right"/>
      <w:pPr>
        <w:ind w:left="449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ABBCE8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0"/>
    <w:rPr>
      <w:rFonts w:ascii="Calibri" w:hAnsi="Calibri" w:eastAsia="宋体" w:cs="Times New Roman"/>
      <w:kern w:val="2"/>
      <w:sz w:val="18"/>
      <w:szCs w:val="18"/>
    </w:rPr>
  </w:style>
  <w:style w:type="character" w:customStyle="1" w:styleId="8">
    <w:name w:val="页脚 字符"/>
    <w:basedOn w:val="6"/>
    <w:link w:val="3"/>
    <w:qFormat/>
    <w:uiPriority w:val="0"/>
    <w:rPr>
      <w:rFonts w:ascii="Calibri" w:hAnsi="Calibri" w:eastAsia="宋体" w:cs="Times New Roman"/>
      <w:kern w:val="2"/>
      <w:sz w:val="18"/>
      <w:szCs w:val="18"/>
    </w:rPr>
  </w:style>
  <w:style w:type="paragraph" w:customStyle="1" w:styleId="9">
    <w:name w:val="规划正文"/>
    <w:basedOn w:val="1"/>
    <w:link w:val="10"/>
    <w:qFormat/>
    <w:uiPriority w:val="0"/>
    <w:pPr>
      <w:spacing w:line="590" w:lineRule="exact"/>
      <w:ind w:firstLine="632" w:firstLineChars="200"/>
    </w:pPr>
    <w:rPr>
      <w:rFonts w:ascii="仿宋_GB2312" w:eastAsia="仿宋_GB2312"/>
      <w:color w:val="000000"/>
      <w:spacing w:val="-4"/>
      <w:sz w:val="32"/>
      <w:szCs w:val="32"/>
    </w:rPr>
  </w:style>
  <w:style w:type="character" w:customStyle="1" w:styleId="10">
    <w:name w:val="规划正文 Char"/>
    <w:link w:val="9"/>
    <w:qFormat/>
    <w:locked/>
    <w:uiPriority w:val="0"/>
    <w:rPr>
      <w:rFonts w:ascii="仿宋_GB2312" w:hAnsi="Calibri" w:eastAsia="仿宋_GB2312" w:cs="Times New Roman"/>
      <w:color w:val="000000"/>
      <w:spacing w:val="-4"/>
      <w:kern w:val="2"/>
      <w:sz w:val="32"/>
      <w:szCs w:val="32"/>
    </w:rPr>
  </w:style>
  <w:style w:type="character" w:customStyle="1" w:styleId="11">
    <w:name w:val="小节标题 Char"/>
    <w:link w:val="12"/>
    <w:qFormat/>
    <w:locked/>
    <w:uiPriority w:val="0"/>
    <w:rPr>
      <w:rFonts w:ascii="仿宋_GB2312" w:eastAsia="黑体"/>
      <w:color w:val="000000" w:themeColor="text1"/>
      <w:spacing w:val="-4"/>
      <w:sz w:val="32"/>
      <w:szCs w:val="28"/>
      <w14:textFill>
        <w14:solidFill>
          <w14:schemeClr w14:val="tx1"/>
        </w14:solidFill>
      </w14:textFill>
    </w:rPr>
  </w:style>
  <w:style w:type="paragraph" w:customStyle="1" w:styleId="12">
    <w:name w:val="小节标题"/>
    <w:basedOn w:val="9"/>
    <w:next w:val="9"/>
    <w:link w:val="11"/>
    <w:qFormat/>
    <w:uiPriority w:val="0"/>
    <w:pPr>
      <w:numPr>
        <w:ilvl w:val="0"/>
        <w:numId w:val="1"/>
      </w:numPr>
      <w:adjustRightInd w:val="0"/>
      <w:snapToGrid w:val="0"/>
      <w:ind w:firstLineChars="0"/>
      <w:outlineLvl w:val="3"/>
    </w:pPr>
    <w:rPr>
      <w:rFonts w:eastAsia="黑体" w:hAnsiTheme="minorHAnsi" w:cstheme="minorBidi"/>
      <w:color w:val="000000" w:themeColor="text1"/>
      <w:kern w:val="0"/>
      <w:szCs w:val="28"/>
      <w14:textFill>
        <w14:solidFill>
          <w14:schemeClr w14:val="tx1"/>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395</Words>
  <Characters>2252</Characters>
  <Lines>18</Lines>
  <Paragraphs>5</Paragraphs>
  <TotalTime>0</TotalTime>
  <ScaleCrop>false</ScaleCrop>
  <LinksUpToDate>false</LinksUpToDate>
  <CharactersWithSpaces>2642</CharactersWithSpaces>
  <Application>WPS Office_11.8.2.1121_F1E327BC-269C-435d-A152-05C5408002CA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2023-03-09T06:50:00Z</dcterms:created>
  <dc:creator>Administrator</dc:creator>
  <cp:lastModifiedBy>Cy</cp:lastModifiedBy>
  <dcterms:modified xsi:type="dcterms:W3CDTF">2023-03-09T10:55:27Z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2052-11.8.2.1121</vt:lpwstr>
  </property>
  <property fmtid="{D5CDD505-2E9C-101B-9397-08002B2CF9AE}" pid="3" name="ICV">
    <vt:lpwstr>EB2F2BC6FB734AFAA32A47154926F14A</vt:lpwstr>
  </property>
</Properties>
</file>