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《川东北</w:t>
      </w:r>
      <w:r>
        <w:rPr>
          <w:rFonts w:ascii="方正小标宋简体" w:hAnsi="方正小标宋简体" w:eastAsia="方正小标宋简体" w:cs="方正小标宋简体"/>
          <w:sz w:val="44"/>
          <w:szCs w:val="44"/>
        </w:rPr>
        <w:t>经济区</w:t>
      </w:r>
      <w:r>
        <w:rPr>
          <w:rFonts w:hint="eastAsia" w:ascii="方正小标宋简体" w:hAnsi="方正小标宋简体" w:eastAsia="方正小标宋简体" w:cs="方正小标宋简体"/>
          <w:sz w:val="44"/>
          <w:szCs w:val="44"/>
        </w:rPr>
        <w:t>总体规划（202</w:t>
      </w:r>
      <w:r>
        <w:rPr>
          <w:rFonts w:ascii="方正小标宋简体" w:hAnsi="方正小标宋简体" w:eastAsia="方正小标宋简体" w:cs="方正小标宋简体"/>
          <w:sz w:val="44"/>
          <w:szCs w:val="44"/>
        </w:rPr>
        <w:t>1</w:t>
      </w:r>
      <w:r>
        <w:rPr>
          <w:rFonts w:hint="eastAsia" w:ascii="方正小标宋简体" w:hAnsi="方正小标宋简体" w:eastAsia="方正小标宋简体" w:cs="方正小标宋简体"/>
          <w:sz w:val="44"/>
          <w:szCs w:val="44"/>
        </w:rPr>
        <w:t>—20</w:t>
      </w:r>
      <w:r>
        <w:rPr>
          <w:rFonts w:ascii="方正小标宋简体" w:hAnsi="方正小标宋简体" w:eastAsia="方正小标宋简体" w:cs="方正小标宋简体"/>
          <w:sz w:val="44"/>
          <w:szCs w:val="44"/>
        </w:rPr>
        <w:t>35</w:t>
      </w:r>
      <w:r>
        <w:rPr>
          <w:rFonts w:hint="eastAsia" w:ascii="方正小标宋简体" w:hAnsi="方正小标宋简体" w:eastAsia="方正小标宋简体" w:cs="方正小标宋简体"/>
          <w:sz w:val="44"/>
          <w:szCs w:val="44"/>
        </w:rPr>
        <w:t>年）（征求意见稿）》</w:t>
      </w:r>
    </w:p>
    <w:p>
      <w:pPr>
        <w:pStyle w:val="2"/>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起草说明材料</w:t>
      </w:r>
    </w:p>
    <w:p>
      <w:pPr>
        <w:pStyle w:val="2"/>
        <w:spacing w:line="640" w:lineRule="exact"/>
        <w:jc w:val="center"/>
        <w:rPr>
          <w:rFonts w:ascii="方正小标宋简体" w:hAnsi="方正小标宋简体" w:eastAsia="方正小标宋简体" w:cs="方正小标宋简体"/>
          <w:sz w:val="40"/>
          <w:szCs w:val="40"/>
        </w:rPr>
      </w:pPr>
    </w:p>
    <w:p>
      <w:pPr>
        <w:spacing w:line="600" w:lineRule="exact"/>
        <w:ind w:firstLine="640" w:firstLineChars="200"/>
        <w:outlineLvl w:val="0"/>
        <w:rPr>
          <w:rFonts w:ascii="Times New Roman" w:hAnsi="Times New Roman" w:eastAsia="黑体"/>
          <w:sz w:val="32"/>
          <w:szCs w:val="32"/>
        </w:rPr>
      </w:pPr>
      <w:r>
        <w:rPr>
          <w:rFonts w:ascii="Times New Roman" w:hAnsi="Times New Roman" w:eastAsia="黑体"/>
          <w:sz w:val="32"/>
          <w:szCs w:val="32"/>
        </w:rPr>
        <w:t>一、</w:t>
      </w:r>
      <w:r>
        <w:rPr>
          <w:rFonts w:hint="eastAsia" w:eastAsia="黑体"/>
          <w:sz w:val="32"/>
          <w:szCs w:val="32"/>
        </w:rPr>
        <w:t>规划思路</w:t>
      </w:r>
    </w:p>
    <w:p>
      <w:pPr>
        <w:pStyle w:val="9"/>
        <w:adjustRightInd w:val="0"/>
        <w:snapToGrid w:val="0"/>
        <w:spacing w:line="560" w:lineRule="exact"/>
        <w:ind w:firstLine="640"/>
        <w:rPr>
          <w:rFonts w:ascii="仿宋_GB2312" w:hAnsi="仿宋" w:eastAsia="仿宋_GB2312"/>
          <w:sz w:val="32"/>
          <w:szCs w:val="32"/>
        </w:rPr>
      </w:pPr>
      <w:r>
        <w:rPr>
          <w:rFonts w:hint="eastAsia" w:ascii="仿宋_GB2312" w:hAnsi="仿宋" w:eastAsia="仿宋_GB2312"/>
          <w:sz w:val="32"/>
          <w:szCs w:val="32"/>
        </w:rPr>
        <w:t>坚定以习近平新时代中国特色社会主义思想和习近平总书记对四川工作系列重要指示精神为指导，深入学习贯彻党的二十大精神，全面落实省第十二次党代会和省委十二届二次全会战略部署，统筹推进“五位一体”总体布局，协调推进“四个全面”战略布局，立足新发展阶段，完整、准确、全面贯彻新发展理念，服务和融入新发展格局，以中国式现代化引领川东北</w:t>
      </w:r>
      <w:r>
        <w:rPr>
          <w:rFonts w:ascii="仿宋_GB2312" w:hAnsi="仿宋" w:eastAsia="仿宋_GB2312"/>
          <w:sz w:val="32"/>
          <w:szCs w:val="32"/>
        </w:rPr>
        <w:t>经济区</w:t>
      </w:r>
      <w:r>
        <w:rPr>
          <w:rFonts w:hint="eastAsia" w:ascii="仿宋_GB2312" w:hAnsi="仿宋" w:eastAsia="仿宋_GB2312"/>
          <w:sz w:val="32"/>
          <w:szCs w:val="32"/>
        </w:rPr>
        <w:t>现代化建设，以成渝地区双城经济圈建设为总牵引，以“四化同步、城乡融合、五区共兴”为总抓手，坚持“讲政治、抓发展、惠民生、保安全”工作总思路，坚持系统观念，着重空间统筹协调；坚持南北差异发展，进一步彰显区位优势、人口优势和生态优势；</w:t>
      </w:r>
      <w:bookmarkStart w:id="0" w:name="_GoBack"/>
      <w:bookmarkEnd w:id="0"/>
      <w:r>
        <w:rPr>
          <w:rFonts w:hint="eastAsia" w:ascii="仿宋_GB2312" w:hAnsi="仿宋" w:eastAsia="仿宋_GB2312"/>
          <w:sz w:val="32"/>
          <w:szCs w:val="32"/>
        </w:rPr>
        <w:t>统筹发展</w:t>
      </w:r>
      <w:r>
        <w:rPr>
          <w:rFonts w:hint="eastAsia" w:ascii="仿宋_GB2312" w:hAnsi="仿宋" w:eastAsia="仿宋_GB2312"/>
          <w:sz w:val="32"/>
          <w:szCs w:val="32"/>
          <w:lang w:val="en-US" w:eastAsia="zh-CN"/>
        </w:rPr>
        <w:t>和</w:t>
      </w:r>
      <w:r>
        <w:rPr>
          <w:rFonts w:hint="eastAsia" w:ascii="仿宋_GB2312" w:hAnsi="仿宋" w:eastAsia="仿宋_GB2312"/>
          <w:sz w:val="32"/>
          <w:szCs w:val="32"/>
        </w:rPr>
        <w:t>安全，科学布局农业、生态和城镇空间，整体谋划优势互补的国土空间开发保护新格局，实现生产空间集约高效、生活空间宜居适度和生态空间山清水秀。</w:t>
      </w:r>
    </w:p>
    <w:p>
      <w:pPr>
        <w:spacing w:line="600" w:lineRule="exact"/>
        <w:ind w:firstLine="640"/>
        <w:rPr>
          <w:rFonts w:ascii="Times New Roman" w:hAnsi="Times New Roman" w:eastAsia="黑体"/>
          <w:sz w:val="32"/>
          <w:szCs w:val="32"/>
        </w:rPr>
      </w:pPr>
      <w:r>
        <w:rPr>
          <w:rFonts w:hint="eastAsia" w:ascii="Times New Roman" w:hAnsi="Times New Roman" w:eastAsia="仿宋_GB2312"/>
          <w:sz w:val="32"/>
          <w:szCs w:val="32"/>
        </w:rPr>
        <w:t>依据《四川省国民经济和社会发展第十四个五年规划和二〇三五年远景目标纲要》《四川省国土空间规划（2021—2035年）》等各类规划，依托</w:t>
      </w:r>
      <w:r>
        <w:rPr>
          <w:rFonts w:hint="eastAsia" w:eastAsia="仿宋_GB2312"/>
          <w:sz w:val="32"/>
          <w:szCs w:val="32"/>
        </w:rPr>
        <w:t>川东北经济区</w:t>
      </w:r>
      <w:r>
        <w:rPr>
          <w:rFonts w:hint="eastAsia" w:ascii="Times New Roman" w:hAnsi="Times New Roman" w:eastAsia="仿宋_GB2312"/>
          <w:sz w:val="32"/>
          <w:szCs w:val="32"/>
        </w:rPr>
        <w:t>自然资源禀赋，科学编制《川东北</w:t>
      </w:r>
      <w:r>
        <w:rPr>
          <w:rFonts w:ascii="Times New Roman" w:hAnsi="Times New Roman" w:eastAsia="仿宋_GB2312"/>
          <w:sz w:val="32"/>
          <w:szCs w:val="32"/>
        </w:rPr>
        <w:t>经济区</w:t>
      </w:r>
      <w:r>
        <w:rPr>
          <w:rFonts w:hint="eastAsia" w:ascii="Times New Roman" w:hAnsi="Times New Roman" w:eastAsia="仿宋_GB2312"/>
          <w:sz w:val="32"/>
          <w:szCs w:val="32"/>
        </w:rPr>
        <w:t>总体规划（202</w:t>
      </w:r>
      <w:r>
        <w:rPr>
          <w:rFonts w:ascii="Times New Roman" w:hAnsi="Times New Roman" w:eastAsia="仿宋_GB2312"/>
          <w:sz w:val="32"/>
          <w:szCs w:val="32"/>
        </w:rPr>
        <w:t>1</w:t>
      </w:r>
      <w:r>
        <w:rPr>
          <w:rFonts w:hint="eastAsia" w:ascii="Times New Roman" w:hAnsi="Times New Roman" w:eastAsia="仿宋_GB2312"/>
          <w:sz w:val="32"/>
          <w:szCs w:val="32"/>
        </w:rPr>
        <w:t>—20</w:t>
      </w:r>
      <w:r>
        <w:rPr>
          <w:rFonts w:ascii="Times New Roman" w:hAnsi="Times New Roman" w:eastAsia="仿宋_GB2312"/>
          <w:sz w:val="32"/>
          <w:szCs w:val="32"/>
        </w:rPr>
        <w:t>35</w:t>
      </w:r>
      <w:r>
        <w:rPr>
          <w:rFonts w:hint="eastAsia" w:ascii="Times New Roman" w:hAnsi="Times New Roman" w:eastAsia="仿宋_GB2312"/>
          <w:sz w:val="32"/>
          <w:szCs w:val="32"/>
        </w:rPr>
        <w:t>年）（征求意见稿）》，有序引导</w:t>
      </w:r>
      <w:r>
        <w:rPr>
          <w:rFonts w:hint="eastAsia" w:eastAsia="仿宋_GB2312"/>
          <w:sz w:val="32"/>
          <w:szCs w:val="32"/>
        </w:rPr>
        <w:t>国土空间</w:t>
      </w:r>
      <w:r>
        <w:rPr>
          <w:rFonts w:eastAsia="仿宋_GB2312"/>
          <w:sz w:val="32"/>
          <w:szCs w:val="32"/>
        </w:rPr>
        <w:t>布局</w:t>
      </w:r>
      <w:r>
        <w:rPr>
          <w:rFonts w:hint="eastAsia" w:ascii="Times New Roman" w:hAnsi="Times New Roman" w:eastAsia="仿宋_GB2312"/>
          <w:sz w:val="32"/>
          <w:szCs w:val="32"/>
        </w:rPr>
        <w:t>。</w:t>
      </w:r>
    </w:p>
    <w:p>
      <w:pPr>
        <w:spacing w:line="600" w:lineRule="exact"/>
        <w:ind w:firstLine="640" w:firstLineChars="200"/>
        <w:outlineLvl w:val="0"/>
        <w:rPr>
          <w:rFonts w:ascii="Times New Roman" w:hAnsi="Times New Roman" w:eastAsia="黑体"/>
          <w:sz w:val="32"/>
          <w:szCs w:val="32"/>
        </w:rPr>
      </w:pPr>
      <w:r>
        <w:rPr>
          <w:rFonts w:ascii="Times New Roman" w:hAnsi="Times New Roman" w:eastAsia="黑体"/>
          <w:sz w:val="32"/>
          <w:szCs w:val="32"/>
        </w:rPr>
        <w:t>二、</w:t>
      </w:r>
      <w:r>
        <w:rPr>
          <w:rFonts w:hint="eastAsia" w:eastAsia="黑体"/>
          <w:sz w:val="32"/>
          <w:szCs w:val="32"/>
        </w:rPr>
        <w:t>规划内容</w:t>
      </w:r>
    </w:p>
    <w:p>
      <w:pPr>
        <w:widowControl/>
        <w:adjustRightInd w:val="0"/>
        <w:snapToGrid w:val="0"/>
        <w:spacing w:line="560" w:lineRule="exact"/>
        <w:ind w:firstLine="640" w:firstLineChars="200"/>
        <w:outlineLvl w:val="0"/>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（一）构建优势互补的国土空间新格局</w:t>
      </w:r>
    </w:p>
    <w:p>
      <w:pPr>
        <w:widowControl/>
        <w:adjustRightInd w:val="0"/>
        <w:snapToGri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立足“北山南丘”自然地理格局，根据资源环境承载能力和国土空间开发适宜性评价，强化南充和达州区域中心城市带动作用，加快人口经济要素集聚，以重要交通通道为纽带，遵循流域经济地理特征，统筹实现北部地区生态保护功能、中部地区农产品生产功能，南部地区高质量发展功能的空间协同。</w:t>
      </w:r>
    </w:p>
    <w:p>
      <w:pPr>
        <w:spacing w:line="600" w:lineRule="exact"/>
        <w:ind w:firstLine="640" w:firstLineChars="200"/>
        <w:outlineLvl w:val="1"/>
        <w:rPr>
          <w:rFonts w:hint="eastAsia" w:eastAsia="楷体_GB2312"/>
          <w:sz w:val="32"/>
          <w:szCs w:val="32"/>
        </w:rPr>
      </w:pPr>
      <w:r>
        <w:rPr>
          <w:rFonts w:hint="eastAsia" w:ascii="楷体_GB2312" w:hAnsi="楷体_GB2312" w:eastAsia="楷体_GB2312" w:cs="楷体_GB2312"/>
          <w:color w:val="000000"/>
          <w:kern w:val="0"/>
          <w:sz w:val="32"/>
          <w:szCs w:val="32"/>
        </w:rPr>
        <w:t>（二）夯实现代农业空间基础</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落实习近平总书记“要严守耕地红线，保护好这片产粮宝地，把粮食生产抓紧抓牢”指示精神，实行最严格的耕地保护制度。立足农业资源禀赋，突出发挥比较优势，坚持宜农则农原则，统筹优化农业空间布局，构建粮经统筹、农牧并重、种养循环的现代农业体系。</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eastAsia" w:ascii="楷体_GB2312" w:hAnsi="楷体_GB2312" w:eastAsia="楷体_GB2312" w:cs="楷体_GB2312"/>
          <w:color w:val="000000"/>
          <w:kern w:val="0"/>
          <w:sz w:val="32"/>
          <w:szCs w:val="32"/>
        </w:rPr>
        <w:t>）保护山清水秀生态屏障</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强化重点生态功能区联建联控，协同推动秦巴生物多样性生态功能区建设，加快大熊猫国家公园体制试点建设，共同推进嘉陵江、渠江流域生态环境保护，建设嘉陵江流域国家生态文明先行示范区。推进天然林资源保护、流域生态治理等重点生态工程建设。推进湿地公园、森林公园和森林草原湿地生态屏障重点县建设。共同加强中小河流及山溪河重要河段治理，开展河道生态修复和保护。</w:t>
      </w:r>
    </w:p>
    <w:p>
      <w:pPr>
        <w:spacing w:line="600" w:lineRule="exact"/>
        <w:ind w:firstLine="640" w:firstLineChars="200"/>
        <w:outlineLvl w:val="1"/>
        <w:rPr>
          <w:rFonts w:ascii="楷体_GB2312" w:hAnsi="楷体_GB2312" w:eastAsia="楷体_GB2312" w:cs="楷体_GB2312"/>
          <w:sz w:val="32"/>
          <w:szCs w:val="32"/>
        </w:rPr>
      </w:pPr>
      <w:r>
        <w:rPr>
          <w:rFonts w:hint="eastAsia" w:ascii="楷体_GB2312" w:hAnsi="楷体_GB2312" w:eastAsia="楷体_GB2312" w:cs="楷体_GB2312"/>
          <w:sz w:val="32"/>
          <w:szCs w:val="32"/>
        </w:rPr>
        <w:t>（四）协同布局区域城镇空间</w:t>
      </w:r>
    </w:p>
    <w:p>
      <w:pPr>
        <w:pStyle w:val="2"/>
        <w:rPr>
          <w:rFonts w:hint="eastAsia"/>
        </w:rPr>
      </w:pPr>
    </w:p>
    <w:p>
      <w:pPr>
        <w:adjustRightInd w:val="0"/>
        <w:snapToGrid w:val="0"/>
        <w:spacing w:line="560" w:lineRule="exact"/>
        <w:ind w:firstLine="640" w:firstLineChars="200"/>
        <w:rPr>
          <w:rFonts w:hint="eastAsia" w:ascii="仿宋_GB2312" w:hAnsi="仿宋" w:eastAsia="仿宋_GB2312"/>
          <w:bCs/>
          <w:sz w:val="32"/>
          <w:szCs w:val="32"/>
        </w:rPr>
      </w:pPr>
      <w:r>
        <w:rPr>
          <w:rFonts w:hint="eastAsia" w:ascii="仿宋_GB2312" w:hAnsi="仿宋" w:eastAsia="仿宋_GB2312"/>
          <w:bCs/>
          <w:sz w:val="32"/>
          <w:szCs w:val="32"/>
        </w:rPr>
        <w:t>坚持以人为核心的新型城镇化，推动</w:t>
      </w:r>
      <w:r>
        <w:rPr>
          <w:rFonts w:ascii="仿宋_GB2312" w:hAnsi="仿宋" w:eastAsia="仿宋_GB2312"/>
          <w:bCs/>
          <w:sz w:val="32"/>
          <w:szCs w:val="32"/>
        </w:rPr>
        <w:t>资源要素</w:t>
      </w:r>
      <w:r>
        <w:rPr>
          <w:rFonts w:hint="eastAsia" w:ascii="仿宋_GB2312" w:hAnsi="仿宋" w:eastAsia="仿宋_GB2312"/>
          <w:bCs/>
          <w:sz w:val="32"/>
          <w:szCs w:val="32"/>
        </w:rPr>
        <w:t>向</w:t>
      </w:r>
      <w:r>
        <w:rPr>
          <w:rFonts w:ascii="仿宋_GB2312" w:hAnsi="仿宋" w:eastAsia="仿宋_GB2312"/>
          <w:bCs/>
          <w:sz w:val="32"/>
          <w:szCs w:val="32"/>
        </w:rPr>
        <w:t>都市</w:t>
      </w:r>
      <w:r>
        <w:rPr>
          <w:rFonts w:hint="eastAsia" w:ascii="仿宋_GB2312" w:hAnsi="仿宋" w:eastAsia="仿宋_GB2312"/>
          <w:bCs/>
          <w:sz w:val="32"/>
          <w:szCs w:val="32"/>
        </w:rPr>
        <w:t>圈、中心</w:t>
      </w:r>
      <w:r>
        <w:rPr>
          <w:rFonts w:ascii="仿宋_GB2312" w:hAnsi="仿宋" w:eastAsia="仿宋_GB2312"/>
          <w:bCs/>
          <w:sz w:val="32"/>
          <w:szCs w:val="32"/>
        </w:rPr>
        <w:t>城市</w:t>
      </w:r>
      <w:r>
        <w:rPr>
          <w:rFonts w:hint="eastAsia" w:ascii="仿宋_GB2312" w:hAnsi="仿宋" w:eastAsia="仿宋_GB2312"/>
          <w:bCs/>
          <w:sz w:val="32"/>
          <w:szCs w:val="32"/>
        </w:rPr>
        <w:t>、</w:t>
      </w:r>
      <w:r>
        <w:rPr>
          <w:rFonts w:ascii="仿宋_GB2312" w:hAnsi="仿宋" w:eastAsia="仿宋_GB2312"/>
          <w:bCs/>
          <w:sz w:val="32"/>
          <w:szCs w:val="32"/>
        </w:rPr>
        <w:t>节点城市和中心镇集中，落实城镇空间内涵式发展要求，形成大中小城市协调发展格局。</w:t>
      </w:r>
      <w:r>
        <w:rPr>
          <w:rFonts w:hint="eastAsia" w:ascii="仿宋_GB2312" w:hAnsi="仿宋" w:eastAsia="仿宋_GB2312"/>
          <w:bCs/>
          <w:sz w:val="32"/>
          <w:szCs w:val="32"/>
        </w:rPr>
        <w:t>促进产业、人口合理流动和高效集聚，做大做强南充和达州区域中心城市，大力发展广元、巴中、广安等片区中心城市，做强做优节点城市，着力培育中心镇。</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（五）协同布局区域产业空间</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构建分工明确、梯次合理的工业化发展空间格局，推动</w:t>
      </w:r>
      <w:r>
        <w:rPr>
          <w:rFonts w:ascii="仿宋_GB2312" w:hAnsi="仿宋" w:eastAsia="仿宋_GB2312"/>
          <w:bCs/>
          <w:sz w:val="32"/>
          <w:szCs w:val="32"/>
        </w:rPr>
        <w:t>产</w:t>
      </w:r>
      <w:r>
        <w:rPr>
          <w:rFonts w:hint="eastAsia" w:ascii="仿宋_GB2312" w:hAnsi="仿宋" w:eastAsia="仿宋_GB2312"/>
          <w:bCs/>
          <w:sz w:val="32"/>
          <w:szCs w:val="32"/>
        </w:rPr>
        <w:t>城融合</w:t>
      </w:r>
      <w:r>
        <w:rPr>
          <w:rFonts w:ascii="仿宋_GB2312" w:hAnsi="仿宋" w:eastAsia="仿宋_GB2312"/>
          <w:bCs/>
          <w:sz w:val="32"/>
          <w:szCs w:val="32"/>
        </w:rPr>
        <w:t>发展，</w:t>
      </w:r>
      <w:r>
        <w:rPr>
          <w:rFonts w:hint="eastAsia" w:ascii="仿宋_GB2312" w:hAnsi="仿宋" w:eastAsia="仿宋_GB2312"/>
          <w:bCs/>
          <w:sz w:val="32"/>
          <w:szCs w:val="32"/>
        </w:rPr>
        <w:t>促进生产性服务业专业化发展、生活性服务业提档升级和服务业“上山下乡”，形成中心带动、末端覆盖的现代产业空间布局。</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2NzY0ZTllMWM3MmY3MTFhYmRhMzMxOTFhZjg0OGYifQ=="/>
  </w:docVars>
  <w:rsids>
    <w:rsidRoot w:val="4835331E"/>
    <w:rsid w:val="00526960"/>
    <w:rsid w:val="007775B4"/>
    <w:rsid w:val="00862681"/>
    <w:rsid w:val="00A31BF0"/>
    <w:rsid w:val="43834BAD"/>
    <w:rsid w:val="48353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rFonts w:ascii="Calibri" w:hAnsi="Calibri" w:eastAsia="宋体" w:cs="Times New Roman"/>
      <w:kern w:val="2"/>
      <w:sz w:val="18"/>
      <w:szCs w:val="18"/>
    </w:rPr>
  </w:style>
  <w:style w:type="character" w:customStyle="1" w:styleId="8">
    <w:name w:val="页脚 Char"/>
    <w:basedOn w:val="6"/>
    <w:link w:val="3"/>
    <w:uiPriority w:val="0"/>
    <w:rPr>
      <w:rFonts w:ascii="Calibri" w:hAnsi="Calibri" w:eastAsia="宋体" w:cs="Times New Roman"/>
      <w:kern w:val="2"/>
      <w:sz w:val="18"/>
      <w:szCs w:val="18"/>
    </w:rPr>
  </w:style>
  <w:style w:type="paragraph" w:styleId="9">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188</Words>
  <Characters>1076</Characters>
  <Lines>8</Lines>
  <Paragraphs>2</Paragraphs>
  <TotalTime>10</TotalTime>
  <ScaleCrop>false</ScaleCrop>
  <LinksUpToDate>false</LinksUpToDate>
  <CharactersWithSpaces>1262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2023-02-28T10:48:00Z</dcterms:created>
  <dc:creator>Administrator</dc:creator>
  <cp:lastModifiedBy>Administrator</cp:lastModifiedBy>
  <dcterms:modified xsi:type="dcterms:W3CDTF">2024-05-14T08:12:04Z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EB2F2BC6FB734AFAA32A47154926F14A</vt:lpwstr>
  </property>
</Properties>
</file>