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40" w:lineRule="exact"/>
        <w:jc w:val="both"/>
        <w:rPr>
          <w:rFonts w:ascii="黑体" w:hAnsi="黑体" w:eastAsia="黑体" w:cs="黑体"/>
          <w:sz w:val="32"/>
          <w:szCs w:val="32"/>
        </w:rPr>
      </w:pPr>
      <w:r>
        <w:rPr>
          <w:rFonts w:hint="eastAsia" w:ascii="黑体" w:hAnsi="黑体" w:eastAsia="黑体" w:cs="黑体"/>
          <w:sz w:val="32"/>
          <w:szCs w:val="32"/>
        </w:rPr>
        <w:t>附件2</w:t>
      </w:r>
    </w:p>
    <w:p>
      <w:pPr>
        <w:pStyle w:val="2"/>
        <w:spacing w:line="64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《川西北生态示范区国土空间规划（202</w:t>
      </w:r>
      <w:r>
        <w:rPr>
          <w:rFonts w:ascii="方正小标宋简体" w:hAnsi="方正小标宋简体" w:eastAsia="方正小标宋简体" w:cs="方正小标宋简体"/>
          <w:sz w:val="44"/>
          <w:szCs w:val="44"/>
        </w:rPr>
        <w:t>1</w:t>
      </w:r>
      <w:r>
        <w:rPr>
          <w:rFonts w:hint="eastAsia" w:ascii="方正小标宋简体" w:hAnsi="方正小标宋简体" w:eastAsia="方正小标宋简体" w:cs="方正小标宋简体"/>
          <w:sz w:val="44"/>
          <w:szCs w:val="44"/>
        </w:rPr>
        <w:t>—20</w:t>
      </w:r>
      <w:r>
        <w:rPr>
          <w:rFonts w:ascii="方正小标宋简体" w:hAnsi="方正小标宋简体" w:eastAsia="方正小标宋简体" w:cs="方正小标宋简体"/>
          <w:sz w:val="44"/>
          <w:szCs w:val="44"/>
        </w:rPr>
        <w:t>35</w:t>
      </w:r>
      <w:r>
        <w:rPr>
          <w:rFonts w:hint="eastAsia" w:ascii="方正小标宋简体" w:hAnsi="方正小标宋简体" w:eastAsia="方正小标宋简体" w:cs="方正小标宋简体"/>
          <w:sz w:val="44"/>
          <w:szCs w:val="44"/>
        </w:rPr>
        <w:t>年）（征求意见稿）》</w:t>
      </w:r>
    </w:p>
    <w:p>
      <w:pPr>
        <w:pStyle w:val="2"/>
        <w:spacing w:line="64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起草说明材料</w:t>
      </w:r>
    </w:p>
    <w:p>
      <w:pPr>
        <w:pStyle w:val="2"/>
        <w:spacing w:line="640" w:lineRule="exact"/>
        <w:jc w:val="center"/>
        <w:rPr>
          <w:rFonts w:ascii="方正小标宋简体" w:hAnsi="方正小标宋简体" w:eastAsia="方正小标宋简体" w:cs="方正小标宋简体"/>
          <w:sz w:val="40"/>
          <w:szCs w:val="40"/>
        </w:rPr>
      </w:pPr>
    </w:p>
    <w:p>
      <w:pPr>
        <w:spacing w:line="600" w:lineRule="exact"/>
        <w:ind w:firstLine="640" w:firstLineChars="200"/>
        <w:outlineLvl w:val="0"/>
        <w:rPr>
          <w:rFonts w:ascii="Times New Roman" w:hAnsi="Times New Roman" w:eastAsia="黑体"/>
          <w:sz w:val="32"/>
          <w:szCs w:val="32"/>
        </w:rPr>
      </w:pPr>
      <w:r>
        <w:rPr>
          <w:rFonts w:ascii="Times New Roman" w:hAnsi="Times New Roman" w:eastAsia="黑体"/>
          <w:sz w:val="32"/>
          <w:szCs w:val="32"/>
        </w:rPr>
        <w:t>一、</w:t>
      </w:r>
      <w:r>
        <w:rPr>
          <w:rFonts w:hint="eastAsia" w:eastAsia="黑体"/>
          <w:sz w:val="32"/>
          <w:szCs w:val="32"/>
        </w:rPr>
        <w:t>规划思路</w:t>
      </w:r>
    </w:p>
    <w:p>
      <w:pPr>
        <w:spacing w:line="600" w:lineRule="exact"/>
        <w:ind w:firstLine="640"/>
        <w:rPr>
          <w:rFonts w:ascii="Times New Roman" w:hAnsi="Times New Roman" w:eastAsia="仿宋_GB2312"/>
          <w:sz w:val="32"/>
          <w:szCs w:val="32"/>
        </w:rPr>
      </w:pPr>
      <w:r>
        <w:rPr>
          <w:rFonts w:hint="eastAsia" w:ascii="Times New Roman" w:hAnsi="Times New Roman" w:eastAsia="仿宋_GB2312"/>
          <w:sz w:val="32"/>
          <w:szCs w:val="32"/>
        </w:rPr>
        <w:t>坚定以习近平新时代中国特色社会主义思想和习近平总书记对四川工作系列重要指示精神为指导，深入学习贯彻党的二十大精神，全面落实四川省第十二次党代会和省委十二届二次全会系列部署，统筹推进“五位一体”总体布局，协调推进“四个全面”战略布局，立足新发展阶段，完整、准确、全面贯彻新发展理念，服务和融入新发展格局，以中国式现代化引领四川川西北生态示范区现代化建设，以成渝地区双城经济圈建设为总牵引，以“四化同步、城乡融合、五区共兴”为总抓手，坚持“讲政治、抓发展、惠民生、保安全”工作总思路，紧扣区情特征和主要矛盾，坚定不移走生态优先、绿色发展道路，统筹谋划国土空间开发、利用、保护和修复，着力探索生态地区绿色发展路径与高水平治理途径，严守国土空间安全底线，科学配置各类资源要素，提升国土空间资源利用效率，推进国土空间治理体系和治理能力现代化，为川西北生态示范区健康可持续发展奠定空间基础。</w:t>
      </w:r>
    </w:p>
    <w:p>
      <w:pPr>
        <w:spacing w:line="600" w:lineRule="exact"/>
        <w:ind w:firstLine="640"/>
        <w:rPr>
          <w:rFonts w:ascii="Times New Roman" w:hAnsi="Times New Roman" w:eastAsia="黑体"/>
          <w:sz w:val="32"/>
          <w:szCs w:val="32"/>
        </w:rPr>
      </w:pPr>
      <w:r>
        <w:rPr>
          <w:rFonts w:hint="eastAsia" w:ascii="Times New Roman" w:hAnsi="Times New Roman" w:eastAsia="仿宋_GB2312"/>
          <w:sz w:val="32"/>
          <w:szCs w:val="32"/>
        </w:rPr>
        <w:t>依据《四川省国民经济和社会发展第十四个五年规划和二</w:t>
      </w:r>
      <w:r>
        <w:rPr>
          <w:rFonts w:hint="eastAsia" w:ascii="微软雅黑" w:hAnsi="微软雅黑" w:eastAsia="微软雅黑" w:cs="微软雅黑"/>
          <w:sz w:val="32"/>
          <w:szCs w:val="32"/>
        </w:rPr>
        <w:t>〇</w:t>
      </w:r>
      <w:r>
        <w:rPr>
          <w:rFonts w:hint="eastAsia" w:ascii="仿宋_GB2312" w:hAnsi="仿宋_GB2312" w:eastAsia="仿宋_GB2312" w:cs="仿宋_GB2312"/>
          <w:sz w:val="32"/>
          <w:szCs w:val="32"/>
        </w:rPr>
        <w:t>三五年远景目标纲要》《四川省国土空间规划（</w:t>
      </w:r>
      <w:r>
        <w:rPr>
          <w:rFonts w:hint="eastAsia" w:ascii="Times New Roman" w:hAnsi="Times New Roman" w:eastAsia="仿宋_GB2312"/>
          <w:sz w:val="32"/>
          <w:szCs w:val="32"/>
        </w:rPr>
        <w:t>2021—2035年）》《川西北生态示范区“十四五”发展规划》等各类规划，以资源环境承载能力评价和国土空间开发适宜性评价、国土空间开发保护现状评估、现行空间类规划实施情况评估以及风险评估等为基础，科学编制《川西北生态示范区国土空间总体规划（2</w:t>
      </w:r>
      <w:r>
        <w:rPr>
          <w:rFonts w:ascii="Times New Roman" w:hAnsi="Times New Roman" w:eastAsia="仿宋_GB2312"/>
          <w:sz w:val="32"/>
          <w:szCs w:val="32"/>
        </w:rPr>
        <w:t>021</w:t>
      </w:r>
      <w:r>
        <w:rPr>
          <w:rFonts w:hint="eastAsia" w:ascii="Times New Roman" w:hAnsi="Times New Roman" w:eastAsia="仿宋_GB2312"/>
          <w:sz w:val="32"/>
          <w:szCs w:val="32"/>
        </w:rPr>
        <w:t>—2</w:t>
      </w:r>
      <w:r>
        <w:rPr>
          <w:rFonts w:ascii="Times New Roman" w:hAnsi="Times New Roman" w:eastAsia="仿宋_GB2312"/>
          <w:sz w:val="32"/>
          <w:szCs w:val="32"/>
        </w:rPr>
        <w:t>035</w:t>
      </w:r>
      <w:r>
        <w:rPr>
          <w:rFonts w:hint="eastAsia" w:ascii="Times New Roman" w:hAnsi="Times New Roman" w:eastAsia="仿宋_GB2312"/>
          <w:sz w:val="32"/>
          <w:szCs w:val="32"/>
        </w:rPr>
        <w:t>年）》（征求意见稿），对《四川省国土空间规划（2021-2035年）》进行深化落实，统筹关键性空间资源配置，推进跨州级行政区协调发展的国土空间专项规划，指导片区各州协同开展保护、开发、利用、整治、修复等各类国土空间活动，对川西北生态示范区国土空间保护开发新格局进行整体谋划。</w:t>
      </w:r>
    </w:p>
    <w:p>
      <w:pPr>
        <w:spacing w:line="600" w:lineRule="exact"/>
        <w:ind w:firstLine="640" w:firstLineChars="200"/>
        <w:outlineLvl w:val="0"/>
        <w:rPr>
          <w:rFonts w:ascii="Times New Roman" w:hAnsi="Times New Roman" w:eastAsia="黑体"/>
          <w:sz w:val="32"/>
          <w:szCs w:val="32"/>
        </w:rPr>
      </w:pPr>
      <w:r>
        <w:rPr>
          <w:rFonts w:ascii="Times New Roman" w:hAnsi="Times New Roman" w:eastAsia="黑体"/>
          <w:sz w:val="32"/>
          <w:szCs w:val="32"/>
        </w:rPr>
        <w:t>二、</w:t>
      </w:r>
      <w:r>
        <w:rPr>
          <w:rFonts w:hint="eastAsia" w:eastAsia="黑体"/>
          <w:sz w:val="32"/>
          <w:szCs w:val="32"/>
        </w:rPr>
        <w:t>规划内容</w:t>
      </w:r>
    </w:p>
    <w:p>
      <w:pPr>
        <w:spacing w:line="600" w:lineRule="exact"/>
        <w:ind w:firstLine="640"/>
        <w:rPr>
          <w:rFonts w:ascii="Times New Roman" w:hAnsi="Times New Roman" w:eastAsia="仿宋_GB2312"/>
          <w:color w:val="000000"/>
          <w:kern w:val="0"/>
          <w:sz w:val="32"/>
          <w:szCs w:val="32"/>
        </w:rPr>
      </w:pPr>
      <w:r>
        <w:rPr>
          <w:rFonts w:hint="eastAsia" w:ascii="Times New Roman" w:hAnsi="Times New Roman" w:eastAsia="仿宋_GB2312"/>
          <w:color w:val="000000"/>
          <w:kern w:val="0"/>
          <w:sz w:val="32"/>
          <w:szCs w:val="32"/>
        </w:rPr>
        <w:t>本规划依据对川西北生态示范区的基础评价、现状评估与风险评估，立足区情实际，突出川西北生态示范区生态屏障、旅游胜地、文化宝地以及资源富集地的核心价值，现将规划内容简要介绍如下。</w:t>
      </w:r>
    </w:p>
    <w:p>
      <w:pPr>
        <w:spacing w:line="600" w:lineRule="exact"/>
        <w:ind w:firstLine="640" w:firstLineChars="200"/>
        <w:outlineLvl w:val="1"/>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（一）明确规划目标定位</w:t>
      </w:r>
    </w:p>
    <w:p>
      <w:pPr>
        <w:spacing w:line="600" w:lineRule="exact"/>
        <w:ind w:firstLine="640"/>
        <w:rPr>
          <w:rFonts w:ascii="Times New Roman" w:hAnsi="Times New Roman" w:eastAsia="仿宋_GB2312"/>
          <w:color w:val="000000"/>
          <w:kern w:val="0"/>
          <w:sz w:val="32"/>
          <w:szCs w:val="32"/>
        </w:rPr>
      </w:pPr>
      <w:r>
        <w:rPr>
          <w:rFonts w:hint="eastAsia" w:ascii="Times New Roman" w:hAnsi="Times New Roman" w:eastAsia="仿宋_GB2312"/>
          <w:color w:val="000000"/>
          <w:kern w:val="0"/>
          <w:sz w:val="32"/>
          <w:szCs w:val="32"/>
        </w:rPr>
        <w:t>确定川西北生态示范区“全国民族团结进步示范区、国家生态文明建设示范区、国际生态文化旅游目的地、现代高原特色农牧业基地、国家重要清洁能源基地”战略定位。分阶段明确目标任务，加快构建主体功能明显、优势互补、高质量发展的国土空间开发保护新格局。到2</w:t>
      </w:r>
      <w:r>
        <w:rPr>
          <w:rFonts w:ascii="Times New Roman" w:hAnsi="Times New Roman" w:eastAsia="仿宋_GB2312"/>
          <w:color w:val="000000"/>
          <w:kern w:val="0"/>
          <w:sz w:val="32"/>
          <w:szCs w:val="32"/>
        </w:rPr>
        <w:t>025</w:t>
      </w:r>
      <w:r>
        <w:rPr>
          <w:rFonts w:hint="eastAsia" w:ascii="Times New Roman" w:hAnsi="Times New Roman" w:eastAsia="仿宋_GB2312"/>
          <w:color w:val="000000"/>
          <w:kern w:val="0"/>
          <w:sz w:val="32"/>
          <w:szCs w:val="32"/>
        </w:rPr>
        <w:t>年，生态示范区建设整体效果初步显现；到2</w:t>
      </w:r>
      <w:r>
        <w:rPr>
          <w:rFonts w:ascii="Times New Roman" w:hAnsi="Times New Roman" w:eastAsia="仿宋_GB2312"/>
          <w:color w:val="000000"/>
          <w:kern w:val="0"/>
          <w:sz w:val="32"/>
          <w:szCs w:val="32"/>
        </w:rPr>
        <w:t>035</w:t>
      </w:r>
      <w:r>
        <w:rPr>
          <w:rFonts w:hint="eastAsia" w:ascii="Times New Roman" w:hAnsi="Times New Roman" w:eastAsia="仿宋_GB2312"/>
          <w:color w:val="000000"/>
          <w:kern w:val="0"/>
          <w:sz w:val="32"/>
          <w:szCs w:val="32"/>
        </w:rPr>
        <w:t>年，生态示范区建设整体效果全面显现；到2</w:t>
      </w:r>
      <w:r>
        <w:rPr>
          <w:rFonts w:ascii="Times New Roman" w:hAnsi="Times New Roman" w:eastAsia="仿宋_GB2312"/>
          <w:color w:val="000000"/>
          <w:kern w:val="0"/>
          <w:sz w:val="32"/>
          <w:szCs w:val="32"/>
        </w:rPr>
        <w:t>050</w:t>
      </w:r>
      <w:r>
        <w:rPr>
          <w:rFonts w:hint="eastAsia" w:ascii="Times New Roman" w:hAnsi="Times New Roman" w:eastAsia="仿宋_GB2312"/>
          <w:color w:val="000000"/>
          <w:kern w:val="0"/>
          <w:sz w:val="32"/>
          <w:szCs w:val="32"/>
        </w:rPr>
        <w:t>年，生态示范区建设效果进一步提升。</w:t>
      </w:r>
    </w:p>
    <w:p>
      <w:pPr>
        <w:spacing w:line="600" w:lineRule="exact"/>
        <w:ind w:firstLine="640" w:firstLineChars="200"/>
        <w:outlineLvl w:val="1"/>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（二）构筑以“三区三线”为基础的国土空间开发保护新格局</w:t>
      </w:r>
    </w:p>
    <w:p>
      <w:pPr>
        <w:spacing w:line="600" w:lineRule="exact"/>
        <w:ind w:firstLine="640"/>
        <w:rPr>
          <w:rFonts w:ascii="Times New Roman" w:hAnsi="Times New Roman" w:eastAsia="仿宋_GB2312"/>
          <w:color w:val="000000"/>
          <w:kern w:val="0"/>
          <w:sz w:val="32"/>
          <w:szCs w:val="32"/>
        </w:rPr>
      </w:pPr>
      <w:r>
        <w:rPr>
          <w:rFonts w:hint="eastAsia" w:ascii="Times New Roman" w:hAnsi="Times New Roman" w:eastAsia="仿宋_GB2312"/>
          <w:color w:val="000000"/>
          <w:kern w:val="0"/>
          <w:sz w:val="32"/>
          <w:szCs w:val="32"/>
        </w:rPr>
        <w:t>积极融入国家与区域发展格局，深化落实主体功能区战略，因地制宜细化主体功能分区，筑牢重点生态功能区布局，确定叠加功能类型，加强多宜性空间保护与发展的统筹协调。以资源环境承载能力和国土空间开发适宜性评价为前提，严守以“三条控制线”为基础的高质量发展空间底线。稳固“面上保护、点上开发”的高原国土空间开发保护格局，以生态廊道串联重要生态功能区，形成区域一体面上保护的基底。有重点地推进点上开发，通过城镇间的联动发展，促进生态旅游文化资源的低影响生态化开发。依托自然山水格局形成“两屏、七区、四带、八片”的国土空间总体格局。</w:t>
      </w:r>
    </w:p>
    <w:p>
      <w:pPr>
        <w:spacing w:line="600" w:lineRule="exact"/>
        <w:ind w:firstLine="640" w:firstLineChars="200"/>
        <w:outlineLvl w:val="1"/>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（三）提升高原特色农牧业空间质量</w:t>
      </w:r>
    </w:p>
    <w:p>
      <w:pPr>
        <w:spacing w:line="600" w:lineRule="exact"/>
        <w:ind w:firstLine="672" w:firstLineChars="200"/>
        <w:rPr>
          <w:rFonts w:eastAsia="仿宋_GB2312"/>
          <w:spacing w:val="8"/>
          <w:sz w:val="32"/>
          <w:szCs w:val="32"/>
          <w:lang w:bidi="en-US"/>
        </w:rPr>
      </w:pPr>
      <w:r>
        <w:rPr>
          <w:rFonts w:hint="eastAsia" w:eastAsia="仿宋_GB2312"/>
          <w:spacing w:val="8"/>
          <w:sz w:val="32"/>
          <w:szCs w:val="32"/>
          <w:lang w:bidi="en-US"/>
        </w:rPr>
        <w:t>全面实施耕地数量、质量、生态“三位一体”保护，全面提升高山土壤生产生态功能及可持续发展能力。严格落实省级国土空间总体格局中的重点生态屏障和农牧业生产协同功能，科学有序推动有条件的生态空间协调承载部分农牧生产功能，构建“四带三区多点”的农牧业空间格局，强化推进区域多元化农产品供给功能，提升农牧业空间质量，支撑高原特色农牧业基地建设。全面落实国家乡村振兴战略，统筹优化乡村功能布局，巩固拓展脱贫攻坚成果，统筹乡村基础设施与公共服务布局，建设宜居宜业和美乡村，实现高质量发展。</w:t>
      </w:r>
    </w:p>
    <w:p>
      <w:pPr>
        <w:spacing w:line="600" w:lineRule="exact"/>
        <w:ind w:firstLine="640" w:firstLineChars="200"/>
        <w:outlineLvl w:val="1"/>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（四）筑牢长江黄河上游生态屏障</w:t>
      </w:r>
    </w:p>
    <w:p>
      <w:pPr>
        <w:spacing w:line="600" w:lineRule="exact"/>
        <w:ind w:firstLine="672" w:firstLineChars="200"/>
        <w:rPr>
          <w:rFonts w:eastAsia="仿宋_GB2312"/>
          <w:spacing w:val="8"/>
          <w:sz w:val="32"/>
          <w:szCs w:val="32"/>
          <w:lang w:bidi="en-US"/>
        </w:rPr>
      </w:pPr>
      <w:r>
        <w:rPr>
          <w:rFonts w:hint="eastAsia" w:eastAsia="仿宋_GB2312"/>
          <w:spacing w:val="8"/>
          <w:sz w:val="32"/>
          <w:szCs w:val="32"/>
          <w:lang w:bidi="en-US"/>
        </w:rPr>
        <w:t>落实国家重点生态功能区保护要求，筑牢青藏高原生态屏障区，维护长江黄河上游生态功能，保障国家生态安全。围绕具有重要生态功能的七大生态安全重要战略区，联通沿金沙江、雅砻江、大渡河和岷江的四条生态廊道，构建生物多样性保护网络，优化生态系统保护格局。加强山水林田湖草沙冰系统保护，健全完善生态产品价值实现机制。</w:t>
      </w:r>
    </w:p>
    <w:p>
      <w:pPr>
        <w:spacing w:line="600" w:lineRule="exact"/>
        <w:ind w:firstLine="640" w:firstLineChars="200"/>
        <w:outlineLvl w:val="1"/>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（五）打造宜居韧性高效的城镇空间</w:t>
      </w:r>
    </w:p>
    <w:p>
      <w:pPr>
        <w:spacing w:line="600" w:lineRule="exact"/>
        <w:ind w:firstLine="672" w:firstLineChars="200"/>
        <w:rPr>
          <w:rFonts w:eastAsia="仿宋_GB2312"/>
          <w:spacing w:val="8"/>
          <w:sz w:val="32"/>
          <w:szCs w:val="32"/>
          <w:lang w:bidi="en-US"/>
        </w:rPr>
      </w:pPr>
      <w:r>
        <w:rPr>
          <w:rFonts w:hint="eastAsia" w:eastAsia="仿宋_GB2312"/>
          <w:spacing w:val="8"/>
          <w:sz w:val="32"/>
          <w:szCs w:val="32"/>
          <w:lang w:bidi="en-US"/>
        </w:rPr>
        <w:t>围绕支撑以人为核心的新型城镇化，推动要素资源向城镇集中发展区倾斜，构建重要节点城市引领、重点县城支撑的各级城镇协调发展格局。统筹考虑人口分布、产业发展、资源环境承载能力与自然灾害风险，分类引导县城建设。坚持人民城市人民建、人民城市为人民，以提升公共服务设施水平、增强城镇安全韧性为主要导向，全面提升城镇人居环境，推动城镇健康宜居安全发展。加强高原特色产业的要素保障和空间支撑，积极开展飞地园区协作，依托城镇培育特色及新兴产业，促进产城融合协同发展。</w:t>
      </w:r>
    </w:p>
    <w:p>
      <w:pPr>
        <w:spacing w:line="600" w:lineRule="exact"/>
        <w:ind w:firstLine="640" w:firstLineChars="200"/>
        <w:outlineLvl w:val="1"/>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（六）严守战略资源与人居环境安全底线</w:t>
      </w:r>
    </w:p>
    <w:p>
      <w:pPr>
        <w:spacing w:line="600" w:lineRule="exact"/>
        <w:ind w:firstLine="672" w:firstLineChars="200"/>
        <w:rPr>
          <w:rFonts w:eastAsia="仿宋_GB2312"/>
          <w:spacing w:val="8"/>
          <w:sz w:val="32"/>
          <w:szCs w:val="32"/>
          <w:lang w:bidi="en-US"/>
        </w:rPr>
      </w:pPr>
      <w:r>
        <w:rPr>
          <w:rFonts w:hint="eastAsia" w:eastAsia="仿宋_GB2312"/>
          <w:spacing w:val="8"/>
          <w:sz w:val="32"/>
          <w:szCs w:val="32"/>
          <w:lang w:bidi="en-US"/>
        </w:rPr>
        <w:t>牢固树立</w:t>
      </w:r>
      <w:bookmarkStart w:id="0" w:name="_GoBack"/>
      <w:bookmarkEnd w:id="0"/>
      <w:r>
        <w:rPr>
          <w:rFonts w:hint="eastAsia" w:eastAsia="仿宋_GB2312"/>
          <w:spacing w:val="8"/>
          <w:sz w:val="32"/>
          <w:szCs w:val="32"/>
          <w:lang w:eastAsia="zh-CN" w:bidi="en-US"/>
        </w:rPr>
        <w:t>总体国家安全观</w:t>
      </w:r>
      <w:r>
        <w:rPr>
          <w:rFonts w:hint="eastAsia" w:eastAsia="仿宋_GB2312"/>
          <w:spacing w:val="8"/>
          <w:sz w:val="32"/>
          <w:szCs w:val="32"/>
          <w:lang w:bidi="en-US"/>
        </w:rPr>
        <w:t>，充分贯彻国家、省安全底线要求，把人民群众生命财产安全放在首位。强化水资源管控，有序建设国家级清洁能源基地，优化战略矿产资源的勘探、开发和储备布局，提高重要能源矿产资源安全保障能力。不断提升防灾减灾能力，有效应对自然灾害，提升城乡建设韧性水平。</w:t>
      </w:r>
    </w:p>
    <w:p>
      <w:pPr>
        <w:spacing w:line="600" w:lineRule="exact"/>
        <w:ind w:firstLine="640" w:firstLineChars="200"/>
        <w:outlineLvl w:val="1"/>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（七）形成开放高效的综合交通与基础设施体系</w:t>
      </w:r>
    </w:p>
    <w:p>
      <w:pPr>
        <w:spacing w:line="600" w:lineRule="exact"/>
        <w:ind w:firstLine="672" w:firstLineChars="200"/>
        <w:rPr>
          <w:rFonts w:eastAsia="仿宋_GB2312"/>
          <w:spacing w:val="8"/>
          <w:sz w:val="32"/>
          <w:szCs w:val="32"/>
          <w:lang w:bidi="en-US"/>
        </w:rPr>
      </w:pPr>
      <w:r>
        <w:rPr>
          <w:rFonts w:hint="eastAsia" w:eastAsia="仿宋_GB2312"/>
          <w:spacing w:val="8"/>
          <w:sz w:val="32"/>
          <w:szCs w:val="32"/>
          <w:lang w:bidi="en-US"/>
        </w:rPr>
        <w:t>完善高效便捷的综合交通体系，保障青藏高原川藏通道的畅通，支撑全域旅游发展。推动能源绿色发展，提高电力外送保障能力，完善燃气、环保、信息等基础设施建设，构建城乡一体、全域覆盖的现代化基础设施体系。</w:t>
      </w:r>
    </w:p>
    <w:p>
      <w:pPr>
        <w:spacing w:line="600" w:lineRule="exact"/>
        <w:ind w:firstLine="640" w:firstLineChars="200"/>
        <w:outlineLvl w:val="1"/>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（八）彰显川西高原自然文化价值和国土空间魅力</w:t>
      </w:r>
    </w:p>
    <w:p>
      <w:pPr>
        <w:spacing w:line="600" w:lineRule="exact"/>
        <w:ind w:firstLine="672" w:firstLineChars="200"/>
        <w:rPr>
          <w:rFonts w:eastAsia="仿宋_GB2312"/>
          <w:spacing w:val="8"/>
          <w:sz w:val="32"/>
          <w:szCs w:val="32"/>
          <w:lang w:bidi="en-US"/>
        </w:rPr>
      </w:pPr>
      <w:r>
        <w:rPr>
          <w:rFonts w:hint="eastAsia" w:eastAsia="仿宋_GB2312"/>
          <w:spacing w:val="8"/>
          <w:sz w:val="32"/>
          <w:szCs w:val="32"/>
          <w:lang w:bidi="en-US"/>
        </w:rPr>
        <w:t>加强自然和文化遗产保护，促进历史文化资源活化利用和赓续传承，展示民族文化、塑造“自然主导、聚落点缀，地形地貌变化明显和藏羌民族特色风情浓厚”的全域风貌特色。充分发掘自然和文化资源价值，完善旅游要素支撑，在保护前提下构建全域旅游格局，支撑国际生态文化旅游目的地建设。</w:t>
      </w:r>
    </w:p>
    <w:p>
      <w:pPr>
        <w:spacing w:line="600" w:lineRule="exact"/>
        <w:ind w:firstLine="640" w:firstLineChars="200"/>
        <w:outlineLvl w:val="1"/>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（九）促进区域协同发展</w:t>
      </w:r>
    </w:p>
    <w:p>
      <w:pPr>
        <w:spacing w:line="600" w:lineRule="exact"/>
        <w:ind w:firstLine="672" w:firstLineChars="200"/>
        <w:rPr>
          <w:rFonts w:eastAsia="仿宋_GB2312"/>
          <w:spacing w:val="8"/>
          <w:sz w:val="32"/>
          <w:szCs w:val="32"/>
          <w:lang w:bidi="en-US"/>
        </w:rPr>
      </w:pPr>
      <w:r>
        <w:rPr>
          <w:rFonts w:hint="eastAsia" w:eastAsia="仿宋_GB2312"/>
          <w:spacing w:val="8"/>
          <w:sz w:val="32"/>
          <w:szCs w:val="32"/>
          <w:lang w:bidi="en-US"/>
        </w:rPr>
        <w:t>抓住“一带一路”等战略机遇，衔接国家重要战略通道建设，加强与相邻省区在生态、文化、设施等方面的空间协同与合作，形成生态共保、设施互联、文化互通、资源共享的国土空间保护开发新格局。加强与其他四大片区的协调与合作，为落实国家及四川省战略，构建四川省国土空间开发保护利用新格局提供支撑。以流域国土空间保护和利用的协同为重点推进片区内两州的协同。</w:t>
      </w:r>
    </w:p>
    <w:p>
      <w:pPr>
        <w:spacing w:line="600" w:lineRule="exact"/>
        <w:ind w:firstLine="640" w:firstLineChars="200"/>
        <w:outlineLvl w:val="1"/>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（十）强化规划传导与实施</w:t>
      </w:r>
    </w:p>
    <w:p>
      <w:pPr>
        <w:spacing w:line="600" w:lineRule="exact"/>
        <w:ind w:firstLine="672" w:firstLineChars="200"/>
        <w:rPr>
          <w:rFonts w:eastAsia="仿宋_GB2312"/>
          <w:spacing w:val="8"/>
          <w:sz w:val="32"/>
          <w:szCs w:val="32"/>
          <w:lang w:bidi="en-US"/>
        </w:rPr>
      </w:pPr>
      <w:r>
        <w:rPr>
          <w:rFonts w:hint="eastAsia" w:eastAsia="仿宋_GB2312"/>
          <w:spacing w:val="8"/>
          <w:sz w:val="32"/>
          <w:szCs w:val="32"/>
          <w:lang w:bidi="en-US"/>
        </w:rPr>
        <w:t>完善规划编制传导体系，加强政策协同保障，建立统一的国土空间基础信息平台，实施规划全生命周期管理，全面提升国土空间治理体系和治理能力现代化水平。</w:t>
      </w:r>
    </w:p>
    <w:p>
      <w:pPr>
        <w:pStyle w:val="2"/>
        <w:rPr>
          <w:lang w:bidi="en-US"/>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2NzY0ZTllMWM3MmY3MTFhYmRhMzMxOTFhZjg0OGYifQ=="/>
  </w:docVars>
  <w:rsids>
    <w:rsidRoot w:val="4835331E"/>
    <w:rsid w:val="00282380"/>
    <w:rsid w:val="003C7802"/>
    <w:rsid w:val="00627075"/>
    <w:rsid w:val="00700027"/>
    <w:rsid w:val="00712556"/>
    <w:rsid w:val="00712B02"/>
    <w:rsid w:val="00930DF9"/>
    <w:rsid w:val="00932819"/>
    <w:rsid w:val="00B11ADE"/>
    <w:rsid w:val="00B76B58"/>
    <w:rsid w:val="00BC791D"/>
    <w:rsid w:val="00BF08F3"/>
    <w:rsid w:val="00C56BF4"/>
    <w:rsid w:val="00E522BE"/>
    <w:rsid w:val="22CB22BD"/>
    <w:rsid w:val="483533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customStyle="1" w:styleId="2">
    <w:name w:val="Default"/>
    <w:next w:val="1"/>
    <w:autoRedefine/>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styleId="3">
    <w:name w:val="footer"/>
    <w:basedOn w:val="1"/>
    <w:link w:val="8"/>
    <w:autoRedefine/>
    <w:qFormat/>
    <w:uiPriority w:val="0"/>
    <w:pPr>
      <w:tabs>
        <w:tab w:val="center" w:pos="4153"/>
        <w:tab w:val="right" w:pos="8306"/>
      </w:tabs>
      <w:snapToGrid w:val="0"/>
      <w:jc w:val="left"/>
    </w:pPr>
    <w:rPr>
      <w:sz w:val="18"/>
      <w:szCs w:val="18"/>
    </w:rPr>
  </w:style>
  <w:style w:type="paragraph" w:styleId="4">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autoRedefine/>
    <w:qFormat/>
    <w:uiPriority w:val="0"/>
    <w:rPr>
      <w:rFonts w:ascii="Calibri" w:hAnsi="Calibri" w:eastAsia="宋体" w:cs="Times New Roman"/>
      <w:kern w:val="2"/>
      <w:sz w:val="18"/>
      <w:szCs w:val="18"/>
    </w:rPr>
  </w:style>
  <w:style w:type="character" w:customStyle="1" w:styleId="8">
    <w:name w:val="页脚 字符"/>
    <w:basedOn w:val="6"/>
    <w:link w:val="3"/>
    <w:autoRedefine/>
    <w:qFormat/>
    <w:uiPriority w:val="0"/>
    <w:rPr>
      <w:rFonts w:ascii="Calibri" w:hAnsi="Calibri" w:eastAsia="宋体" w:cs="Times New Roman"/>
      <w:kern w:val="2"/>
      <w:sz w:val="18"/>
      <w:szCs w:val="18"/>
    </w:rPr>
  </w:style>
  <w:style w:type="paragraph" w:styleId="9">
    <w:name w:val="List Paragraph"/>
    <w:basedOn w:val="1"/>
    <w:uiPriority w:val="99"/>
    <w:pPr>
      <w:ind w:firstLine="420" w:firstLineChars="200"/>
    </w:pPr>
  </w:style>
  <w:style w:type="paragraph" w:customStyle="1" w:styleId="10">
    <w:name w:val="规划正文"/>
    <w:basedOn w:val="1"/>
    <w:link w:val="11"/>
    <w:autoRedefine/>
    <w:qFormat/>
    <w:uiPriority w:val="0"/>
    <w:pPr>
      <w:spacing w:line="590" w:lineRule="exact"/>
      <w:ind w:firstLine="200" w:firstLineChars="200"/>
    </w:pPr>
    <w:rPr>
      <w:rFonts w:ascii="仿宋_GB2312" w:eastAsia="仿宋_GB2312" w:hAnsiTheme="minorHAnsi" w:cstheme="minorBidi"/>
      <w:spacing w:val="-4"/>
      <w:sz w:val="28"/>
      <w:szCs w:val="22"/>
    </w:rPr>
  </w:style>
  <w:style w:type="character" w:customStyle="1" w:styleId="11">
    <w:name w:val="规划正文 Char"/>
    <w:basedOn w:val="6"/>
    <w:link w:val="10"/>
    <w:autoRedefine/>
    <w:qFormat/>
    <w:uiPriority w:val="0"/>
    <w:rPr>
      <w:rFonts w:ascii="仿宋_GB2312" w:eastAsia="仿宋_GB2312"/>
      <w:spacing w:val="-4"/>
      <w:kern w:val="2"/>
      <w:sz w:val="28"/>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2634</Words>
  <Characters>68</Characters>
  <Lines>1</Lines>
  <Paragraphs>5</Paragraphs>
  <TotalTime>61</TotalTime>
  <ScaleCrop>false</ScaleCrop>
  <LinksUpToDate>false</LinksUpToDate>
  <CharactersWithSpaces>2697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2023-03-08T09:12:00Z</dcterms:created>
  <dc:creator>Administrator</dc:creator>
  <cp:lastModifiedBy>Administrator</cp:lastModifiedBy>
  <dcterms:modified xsi:type="dcterms:W3CDTF">2024-05-20T01:28:10Z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EB2F2BC6FB734AFAA32A47154926F14A</vt:lpwstr>
  </property>
</Properties>
</file>