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关于《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四川省采矿用地保障实施细则（征求意见稿）</w:t>
      </w:r>
      <w:r>
        <w:rPr>
          <w:rFonts w:hint="default" w:ascii="Times New Roman" w:hAnsi="Times New Roman" w:eastAsia="黑体" w:cs="Times New Roman"/>
          <w:sz w:val="44"/>
          <w:szCs w:val="44"/>
        </w:rPr>
        <w:t>》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的起草说明</w:t>
      </w:r>
    </w:p>
    <w:p>
      <w:pPr>
        <w:jc w:val="center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为深入贯彻落实《自然资源部关于做好采矿用地保障的通知》（自然资发〔2022〕202号）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采矿用地管理，多途径、差别化保障采矿用地合理需求，推动全省矿业经济高质量发展，结合我省工作实际，我厅起草了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《四川省采矿用地保障实施细则（征求意见稿）》（以下简称《细则》）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为便于社会公众更好地理解《细则》有关内容，现将文件起草情况说明如下：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 w:bidi="ar"/>
        </w:rPr>
        <w:t>2022年11月18日，自然资源部印发了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《自然资源部关于做好采矿用地保障的通知》（自然资发〔2022〕202号）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文件，为落实自然资源部文件要求，多途径、差别化保障我省采矿用地用地需求，进一步规范我省采矿用地管理，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起草了本《细则》。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政策主要内容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《细则》共六章二十二条，主要内容包括：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第一章，明确了采矿用地范围及认定依据。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第二章，明确了采矿项目用地需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纳入国土空间总体规划重点建设项目安排表及国土空间规划“一张图”，作为规划依据，并要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bidi="ar"/>
        </w:rPr>
        <w:t>坚持从严管控原则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bidi="ar"/>
        </w:rPr>
        <w:t>不占、少占耕地，避让永久基本农田和生态保护红线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依法完善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采矿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bidi="ar"/>
        </w:rPr>
        <w:t>项目用地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第三章，进一步规范及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明确了采矿项目用地的指标配置、矿山用地复垦修复，腾退的建设用地指标的相关要求。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第四章，进一步明确了采矿用地的审批和供应管理。一是采矿用地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在矿产资源勘查期间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的相关用地可依法使用临时用地及相关要求；二是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采矿项目新增建设用地依法依规办理农用地转用审批手续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依法使用集体土地的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采矿项目用地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可参照土地征收补偿标准，妥善做好相关补偿安置工作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确需分期建设的项目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可依据相关文件分期申请建设用地；五是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开采周期长的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分期建设的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露天矿山项目用地可采用循环用地模式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采矿项目用地符合《划拨用地目录》的，可按有关规定以划拨方式提供土地使用权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及相关要求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第五章，对采矿用地的监管职责提出了工作要求。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第六章，明确了《细则》的有效期及相关规定。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YzU2ZGU3MGViZGI5M2NkZDMyNTY3Mjg3YjViNGIifQ=="/>
  </w:docVars>
  <w:rsids>
    <w:rsidRoot w:val="30DB0324"/>
    <w:rsid w:val="2AF75793"/>
    <w:rsid w:val="30DB0324"/>
    <w:rsid w:val="4984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2023-08-11T09:39:00Z</dcterms:created>
  <dc:creator>文放</dc:creator>
  <cp:lastModifiedBy>文放</cp:lastModifiedBy>
  <cp:lastPrinted>2023-08-11T10:28:00Z</cp:lastPrinted>
  <dcterms:modified xsi:type="dcterms:W3CDTF">2023-08-11T10:30:38Z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5FC28175DBAF4B5DAFA9F1725F3F283B_11</vt:lpwstr>
  </property>
</Properties>
</file>