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（不予公开型）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             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川国土资公开告知〔××××〕××××号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四川省国土资源厅政府信息不予公开告知书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××××××：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我厅已依法受理您（单位）于××××年××月××日提出的政府信息公开申请。根据《中华人民共和国政府信息公开条例》的规定，现函复如下：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您（单位）申请的信息因属于国家秘密，不属于政府信息公开的范围，不予公开。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您（单位）申请的信息因涉及第三方的商业秘密（个人隐私），经书面征求第三方意见，第三方不同意公开，故不予公开。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特此告知。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496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××××年××月××日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E49C2"/>
    <w:rsid w:val="5DA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2021-04-20T09:16:00Z</dcterms:created>
  <dc:creator>七七</dc:creator>
  <cp:lastModifiedBy>七七</cp:lastModifiedBy>
  <dcterms:modified xsi:type="dcterms:W3CDTF">2021-04-20T09:16:47Z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DCFEA170A09042EF96824F0776384FE8</vt:lpwstr>
  </property>
  <property fmtid="{D5CDD505-2E9C-101B-9397-08002B2CF9AE}" pid="4" name="KSOSaveFontToCloudKey">
    <vt:lpwstr>646189406_cloud</vt:lpwstr>
  </property>
</Properties>
</file>