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63" w:line="219" w:lineRule="auto"/>
        <w:ind w:firstLine="0" w:firstLineChars="0"/>
        <w:outlineLvl w:val="0"/>
        <w:rPr>
          <w:rFonts w:hint="default" w:ascii="Times New Roman" w:hAnsi="Times New Roman" w:eastAsia="仿宋_GB2312" w:cs="Times New Roman"/>
          <w:spacing w:val="7"/>
          <w:sz w:val="32"/>
          <w:szCs w:val="32"/>
          <w:lang w:val="en-US" w:eastAsia="zh-CN" w:bidi="ar"/>
        </w:rPr>
      </w:pPr>
      <w:r>
        <w:rPr>
          <w:rFonts w:hint="default" w:ascii="Times New Roman" w:hAnsi="Times New Roman" w:eastAsia="仿宋_GB2312" w:cs="Times New Roman"/>
          <w:spacing w:val="7"/>
          <w:sz w:val="32"/>
          <w:szCs w:val="32"/>
          <w:lang w:val="en-US" w:eastAsia="zh-CN" w:bidi="ar"/>
        </w:rPr>
        <w:t>附件</w:t>
      </w:r>
      <w:r>
        <w:rPr>
          <w:rFonts w:hint="eastAsia" w:ascii="Times New Roman" w:hAnsi="Times New Roman" w:cs="Times New Roman"/>
          <w:spacing w:val="7"/>
          <w:sz w:val="32"/>
          <w:szCs w:val="32"/>
          <w:lang w:val="en-US" w:eastAsia="zh-CN" w:bidi="ar"/>
        </w:rPr>
        <w:t>1</w:t>
      </w:r>
    </w:p>
    <w:p>
      <w:pPr>
        <w:pStyle w:val="2"/>
        <w:keepNext w:val="0"/>
        <w:keepLines w:val="0"/>
        <w:pageBreakBefore w:val="0"/>
        <w:widowControl w:val="0"/>
        <w:kinsoku/>
        <w:wordWrap/>
        <w:overflowPunct/>
        <w:topLinePunct w:val="0"/>
        <w:autoSpaceDE w:val="0"/>
        <w:autoSpaceDN w:val="0"/>
        <w:bidi w:val="0"/>
        <w:adjustRightInd w:val="0"/>
        <w:snapToGrid/>
        <w:spacing w:line="560" w:lineRule="exact"/>
        <w:jc w:val="center"/>
        <w:textAlignment w:val="auto"/>
        <w:rPr>
          <w:rStyle w:val="6"/>
          <w:rFonts w:hint="default" w:ascii="Times New Roman" w:hAnsi="Times New Roman" w:eastAsia="方正小标宋简体" w:cs="Times New Roman"/>
          <w:sz w:val="40"/>
          <w:szCs w:val="40"/>
          <w:lang w:val="en-US" w:eastAsia="zh-CN" w:bidi="ar"/>
        </w:rPr>
      </w:pPr>
      <w:r>
        <w:rPr>
          <w:rStyle w:val="6"/>
          <w:rFonts w:hint="default" w:ascii="Times New Roman" w:hAnsi="Times New Roman" w:eastAsia="方正小标宋简体" w:cs="Times New Roman"/>
          <w:sz w:val="40"/>
          <w:szCs w:val="40"/>
          <w:lang w:val="en-US" w:eastAsia="zh-CN" w:bidi="ar"/>
        </w:rPr>
        <w:t>四川省历史遗留废弃矿山生态修复资金年度绩效考评表</w:t>
      </w:r>
    </w:p>
    <w:p>
      <w:pPr>
        <w:pStyle w:val="2"/>
        <w:keepNext w:val="0"/>
        <w:keepLines w:val="0"/>
        <w:pageBreakBefore w:val="0"/>
        <w:widowControl w:val="0"/>
        <w:kinsoku/>
        <w:wordWrap/>
        <w:overflowPunct/>
        <w:topLinePunct w:val="0"/>
        <w:autoSpaceDE w:val="0"/>
        <w:autoSpaceDN w:val="0"/>
        <w:bidi w:val="0"/>
        <w:adjustRightInd w:val="0"/>
        <w:snapToGrid/>
        <w:spacing w:line="560" w:lineRule="exact"/>
        <w:jc w:val="center"/>
        <w:textAlignment w:val="auto"/>
        <w:rPr>
          <w:rFonts w:hint="default" w:ascii="Times New Roman" w:hAnsi="Times New Roman" w:eastAsia="方正小标宋简体" w:cs="Times New Roman"/>
          <w:sz w:val="32"/>
          <w:szCs w:val="32"/>
          <w:lang w:val="en-US" w:eastAsia="zh-CN"/>
        </w:rPr>
      </w:pPr>
      <w:r>
        <w:rPr>
          <w:rStyle w:val="6"/>
          <w:rFonts w:hint="default" w:ascii="Times New Roman" w:hAnsi="Times New Roman" w:eastAsia="方正小标宋简体" w:cs="Times New Roman"/>
          <w:sz w:val="32"/>
          <w:szCs w:val="32"/>
          <w:lang w:val="en-US" w:eastAsia="zh-CN" w:bidi="ar"/>
        </w:rPr>
        <w:t>（</w:t>
      </w:r>
      <w:r>
        <w:rPr>
          <w:rFonts w:hint="default" w:ascii="Times New Roman" w:hAnsi="Times New Roman" w:eastAsia="方正小标宋简体" w:cs="Times New Roman"/>
          <w:i w:val="0"/>
          <w:iCs w:val="0"/>
          <w:color w:val="000000"/>
          <w:kern w:val="0"/>
          <w:sz w:val="32"/>
          <w:szCs w:val="32"/>
          <w:u w:val="none"/>
          <w:lang w:val="en-US" w:eastAsia="zh-CN" w:bidi="ar"/>
        </w:rPr>
        <w:t xml:space="preserve">      </w:t>
      </w:r>
      <w:r>
        <w:rPr>
          <w:rStyle w:val="6"/>
          <w:rFonts w:hint="default" w:ascii="Times New Roman" w:hAnsi="Times New Roman" w:eastAsia="方正小标宋简体" w:cs="Times New Roman"/>
          <w:sz w:val="32"/>
          <w:szCs w:val="32"/>
          <w:lang w:val="en-US" w:eastAsia="zh-CN" w:bidi="ar"/>
        </w:rPr>
        <w:t>年度）</w:t>
      </w:r>
    </w:p>
    <w:p>
      <w:pPr>
        <w:ind w:left="0" w:leftChars="0" w:firstLine="0" w:firstLineChars="0"/>
        <w:rPr>
          <w:rFonts w:hint="default" w:ascii="Times New Roman" w:hAnsi="Times New Roman" w:cs="Times New Roman"/>
        </w:rPr>
      </w:pPr>
      <w:r>
        <w:rPr>
          <w:rStyle w:val="7"/>
          <w:rFonts w:hint="default" w:ascii="Times New Roman" w:hAnsi="Times New Roman" w:cs="Times New Roman"/>
          <w:lang w:val="en-US" w:eastAsia="zh-CN" w:bidi="ar"/>
        </w:rPr>
        <w:t>市（州）：</w:t>
      </w:r>
    </w:p>
    <w:tbl>
      <w:tblPr>
        <w:tblStyle w:val="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627"/>
        <w:gridCol w:w="1446"/>
        <w:gridCol w:w="562"/>
        <w:gridCol w:w="5847"/>
        <w:gridCol w:w="818"/>
        <w:gridCol w:w="1046"/>
        <w:gridCol w:w="32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blHeader/>
        </w:trPr>
        <w:tc>
          <w:tcPr>
            <w:tcW w:w="1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auto"/>
                <w:sz w:val="20"/>
                <w:szCs w:val="20"/>
                <w:u w:val="none"/>
              </w:rPr>
            </w:pPr>
            <w:r>
              <w:rPr>
                <w:rStyle w:val="8"/>
                <w:rFonts w:hint="eastAsia" w:ascii="宋体" w:hAnsi="宋体" w:eastAsia="宋体" w:cs="宋体"/>
                <w:color w:val="auto"/>
                <w:lang w:val="en-US" w:eastAsia="zh-CN" w:bidi="ar"/>
              </w:rPr>
              <w:t>一级指标（分值）</w:t>
            </w:r>
          </w:p>
        </w:tc>
        <w:tc>
          <w:tcPr>
            <w:tcW w:w="14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auto"/>
                <w:sz w:val="20"/>
                <w:szCs w:val="20"/>
                <w:u w:val="none"/>
              </w:rPr>
            </w:pPr>
            <w:r>
              <w:rPr>
                <w:rStyle w:val="8"/>
                <w:rFonts w:hint="eastAsia" w:ascii="宋体" w:hAnsi="宋体" w:eastAsia="宋体" w:cs="宋体"/>
                <w:color w:val="auto"/>
                <w:lang w:val="en-US" w:eastAsia="zh-CN" w:bidi="ar"/>
              </w:rPr>
              <w:t>二级指标（分值）</w:t>
            </w:r>
          </w:p>
        </w:tc>
        <w:tc>
          <w:tcPr>
            <w:tcW w:w="5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auto"/>
                <w:sz w:val="20"/>
                <w:szCs w:val="20"/>
                <w:u w:val="none"/>
              </w:rPr>
            </w:pPr>
            <w:r>
              <w:rPr>
                <w:rStyle w:val="8"/>
                <w:rFonts w:hint="eastAsia" w:ascii="宋体" w:hAnsi="宋体" w:eastAsia="宋体" w:cs="宋体"/>
                <w:color w:val="auto"/>
                <w:lang w:val="en-US" w:eastAsia="zh-CN" w:bidi="ar"/>
              </w:rPr>
              <w:t>分值</w:t>
            </w:r>
          </w:p>
        </w:tc>
        <w:tc>
          <w:tcPr>
            <w:tcW w:w="58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auto"/>
                <w:sz w:val="20"/>
                <w:szCs w:val="20"/>
                <w:u w:val="none"/>
              </w:rPr>
            </w:pPr>
            <w:r>
              <w:rPr>
                <w:rStyle w:val="8"/>
                <w:rFonts w:hint="eastAsia" w:ascii="宋体" w:hAnsi="宋体" w:eastAsia="宋体" w:cs="宋体"/>
                <w:color w:val="auto"/>
                <w:lang w:val="en-US" w:eastAsia="zh-CN" w:bidi="ar"/>
              </w:rPr>
              <w:t>评分标准</w:t>
            </w:r>
          </w:p>
        </w:tc>
        <w:tc>
          <w:tcPr>
            <w:tcW w:w="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auto"/>
                <w:sz w:val="20"/>
                <w:szCs w:val="20"/>
                <w:u w:val="none"/>
              </w:rPr>
            </w:pPr>
            <w:r>
              <w:rPr>
                <w:rStyle w:val="8"/>
                <w:rFonts w:hint="eastAsia" w:ascii="宋体" w:hAnsi="宋体" w:eastAsia="宋体" w:cs="宋体"/>
                <w:color w:val="auto"/>
                <w:lang w:val="en-US" w:eastAsia="zh-CN" w:bidi="ar"/>
              </w:rPr>
              <w:t>自评得分</w:t>
            </w:r>
          </w:p>
        </w:tc>
        <w:tc>
          <w:tcPr>
            <w:tcW w:w="10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Style w:val="8"/>
                <w:rFonts w:hint="eastAsia" w:ascii="宋体" w:hAnsi="宋体" w:eastAsia="宋体" w:cs="宋体"/>
                <w:color w:val="auto"/>
                <w:lang w:val="en-US" w:eastAsia="zh-CN" w:bidi="ar"/>
              </w:rPr>
            </w:pPr>
            <w:r>
              <w:rPr>
                <w:rStyle w:val="8"/>
                <w:rFonts w:hint="eastAsia" w:ascii="宋体" w:hAnsi="宋体" w:eastAsia="宋体" w:cs="宋体"/>
                <w:color w:val="auto"/>
                <w:lang w:val="en-US" w:eastAsia="zh-CN" w:bidi="ar"/>
              </w:rPr>
              <w:t>省级</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auto"/>
                <w:sz w:val="20"/>
                <w:szCs w:val="20"/>
                <w:u w:val="none"/>
              </w:rPr>
            </w:pPr>
            <w:r>
              <w:rPr>
                <w:rStyle w:val="8"/>
                <w:rFonts w:hint="eastAsia" w:ascii="宋体" w:hAnsi="宋体" w:eastAsia="宋体" w:cs="宋体"/>
                <w:color w:val="auto"/>
                <w:lang w:val="en-US" w:eastAsia="zh-CN" w:bidi="ar"/>
              </w:rPr>
              <w:t>评分</w:t>
            </w:r>
          </w:p>
        </w:tc>
        <w:tc>
          <w:tcPr>
            <w:tcW w:w="32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auto"/>
                <w:sz w:val="20"/>
                <w:szCs w:val="20"/>
                <w:u w:val="none"/>
              </w:rPr>
            </w:pPr>
            <w:r>
              <w:rPr>
                <w:rStyle w:val="8"/>
                <w:rFonts w:hint="eastAsia" w:ascii="宋体" w:hAnsi="宋体" w:eastAsia="宋体" w:cs="宋体"/>
                <w:color w:val="auto"/>
                <w:lang w:val="en-US" w:eastAsia="zh-CN" w:bidi="ar"/>
              </w:rPr>
              <w:t>打分依据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627"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方案编制</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（15分）</w:t>
            </w:r>
          </w:p>
        </w:tc>
        <w:tc>
          <w:tcPr>
            <w:tcW w:w="14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目标制定</w:t>
            </w:r>
          </w:p>
        </w:tc>
        <w:tc>
          <w:tcPr>
            <w:tcW w:w="5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0"/>
                <w:szCs w:val="20"/>
                <w:u w:val="none"/>
                <w:lang w:val="en-US"/>
              </w:rPr>
            </w:pPr>
            <w:r>
              <w:rPr>
                <w:rFonts w:hint="eastAsia" w:ascii="宋体" w:hAnsi="宋体" w:eastAsia="宋体" w:cs="宋体"/>
                <w:i w:val="0"/>
                <w:iCs w:val="0"/>
                <w:color w:val="auto"/>
                <w:kern w:val="0"/>
                <w:sz w:val="20"/>
                <w:szCs w:val="20"/>
                <w:u w:val="none"/>
                <w:lang w:val="en-US" w:eastAsia="zh-CN" w:bidi="ar"/>
              </w:rPr>
              <w:t>8</w:t>
            </w:r>
          </w:p>
        </w:tc>
        <w:tc>
          <w:tcPr>
            <w:tcW w:w="58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①方案目标明确，纳入修复矿山未在负面清单范围内，方案合理可行，组织保障较好（3分）；②目标是否突出重点区域，是否落实本级生态修复规划（3分）。③历史遗留矿山相关证明材料、修复范围等附件齐全。（2分）</w:t>
            </w:r>
          </w:p>
        </w:tc>
        <w:tc>
          <w:tcPr>
            <w:tcW w:w="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0"/>
                <w:szCs w:val="20"/>
                <w:u w:val="none"/>
              </w:rPr>
            </w:pPr>
          </w:p>
        </w:tc>
        <w:tc>
          <w:tcPr>
            <w:tcW w:w="10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0"/>
                <w:szCs w:val="20"/>
                <w:u w:val="none"/>
              </w:rPr>
            </w:pPr>
          </w:p>
        </w:tc>
        <w:tc>
          <w:tcPr>
            <w:tcW w:w="32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1627"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0"/>
                <w:szCs w:val="20"/>
                <w:u w:val="none"/>
              </w:rPr>
            </w:pPr>
          </w:p>
        </w:tc>
        <w:tc>
          <w:tcPr>
            <w:tcW w:w="14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方案备案</w:t>
            </w:r>
          </w:p>
        </w:tc>
        <w:tc>
          <w:tcPr>
            <w:tcW w:w="5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58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①是否按时编制完成实施方案并提交备案。在规定时间内完成并提交备案的得2分，超规定时间1月内</w:t>
            </w:r>
            <w:r>
              <w:rPr>
                <w:rFonts w:hint="eastAsia" w:ascii="宋体" w:hAnsi="宋体" w:cs="宋体"/>
                <w:i w:val="0"/>
                <w:iCs w:val="0"/>
                <w:color w:val="auto"/>
                <w:kern w:val="0"/>
                <w:sz w:val="20"/>
                <w:szCs w:val="20"/>
                <w:u w:val="none"/>
                <w:lang w:val="en-US" w:eastAsia="zh-CN" w:bidi="ar"/>
              </w:rPr>
              <w:t>提交</w:t>
            </w:r>
            <w:r>
              <w:rPr>
                <w:rFonts w:hint="eastAsia" w:ascii="宋体" w:hAnsi="宋体" w:eastAsia="宋体" w:cs="宋体"/>
                <w:i w:val="0"/>
                <w:iCs w:val="0"/>
                <w:color w:val="auto"/>
                <w:kern w:val="0"/>
                <w:sz w:val="20"/>
                <w:szCs w:val="20"/>
                <w:u w:val="none"/>
                <w:lang w:val="en-US" w:eastAsia="zh-CN" w:bidi="ar"/>
              </w:rPr>
              <w:t>得1分，其它不得分。</w:t>
            </w:r>
          </w:p>
        </w:tc>
        <w:tc>
          <w:tcPr>
            <w:tcW w:w="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0"/>
                <w:szCs w:val="20"/>
                <w:u w:val="none"/>
              </w:rPr>
            </w:pPr>
          </w:p>
        </w:tc>
        <w:tc>
          <w:tcPr>
            <w:tcW w:w="10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0"/>
                <w:szCs w:val="20"/>
                <w:u w:val="none"/>
              </w:rPr>
            </w:pPr>
          </w:p>
        </w:tc>
        <w:tc>
          <w:tcPr>
            <w:tcW w:w="32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1627"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0"/>
                <w:szCs w:val="20"/>
                <w:u w:val="none"/>
              </w:rPr>
            </w:pPr>
          </w:p>
        </w:tc>
        <w:tc>
          <w:tcPr>
            <w:tcW w:w="14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体制机制创新</w:t>
            </w:r>
          </w:p>
        </w:tc>
        <w:tc>
          <w:tcPr>
            <w:tcW w:w="5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5</w:t>
            </w:r>
          </w:p>
        </w:tc>
        <w:tc>
          <w:tcPr>
            <w:tcW w:w="58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①反映矿山生态修复体制机制创新情况。已编制印发矿山生态修复项目、资金管理办法的每项得1分，否则不得分。有其他创新材料或形成年度工作创新亮点特色总结报告得3分，否则不得分。</w:t>
            </w:r>
          </w:p>
        </w:tc>
        <w:tc>
          <w:tcPr>
            <w:tcW w:w="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0"/>
                <w:szCs w:val="20"/>
                <w:u w:val="none"/>
              </w:rPr>
            </w:pPr>
          </w:p>
        </w:tc>
        <w:tc>
          <w:tcPr>
            <w:tcW w:w="10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0"/>
                <w:szCs w:val="20"/>
                <w:u w:val="none"/>
              </w:rPr>
            </w:pPr>
          </w:p>
        </w:tc>
        <w:tc>
          <w:tcPr>
            <w:tcW w:w="32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1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资金执行</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r>
              <w:rPr>
                <w:rFonts w:hint="eastAsia" w:ascii="宋体" w:hAnsi="宋体" w:cs="宋体"/>
                <w:i w:val="0"/>
                <w:iCs w:val="0"/>
                <w:color w:val="auto"/>
                <w:kern w:val="0"/>
                <w:sz w:val="20"/>
                <w:szCs w:val="20"/>
                <w:u w:val="none"/>
                <w:lang w:val="en-US" w:eastAsia="zh-CN" w:bidi="ar"/>
              </w:rPr>
              <w:t>30</w:t>
            </w:r>
            <w:r>
              <w:rPr>
                <w:rFonts w:hint="eastAsia" w:ascii="宋体" w:hAnsi="宋体" w:eastAsia="宋体" w:cs="宋体"/>
                <w:i w:val="0"/>
                <w:iCs w:val="0"/>
                <w:color w:val="auto"/>
                <w:kern w:val="0"/>
                <w:sz w:val="20"/>
                <w:szCs w:val="20"/>
                <w:u w:val="none"/>
                <w:lang w:val="en-US" w:eastAsia="zh-CN" w:bidi="ar"/>
              </w:rPr>
              <w:t>分）</w:t>
            </w:r>
          </w:p>
        </w:tc>
        <w:tc>
          <w:tcPr>
            <w:tcW w:w="14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执行进度</w:t>
            </w:r>
          </w:p>
        </w:tc>
        <w:tc>
          <w:tcPr>
            <w:tcW w:w="5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宋体" w:hAnsi="宋体" w:eastAsia="宋体" w:cs="宋体"/>
                <w:i w:val="0"/>
                <w:iCs w:val="0"/>
                <w:color w:val="auto"/>
                <w:sz w:val="20"/>
                <w:szCs w:val="20"/>
                <w:u w:val="none"/>
                <w:lang w:val="en-US"/>
              </w:rPr>
            </w:pPr>
            <w:r>
              <w:rPr>
                <w:rFonts w:hint="eastAsia" w:ascii="宋体" w:hAnsi="宋体" w:cs="宋体"/>
                <w:i w:val="0"/>
                <w:iCs w:val="0"/>
                <w:color w:val="auto"/>
                <w:kern w:val="0"/>
                <w:sz w:val="20"/>
                <w:szCs w:val="20"/>
                <w:u w:val="none"/>
                <w:lang w:val="en-US" w:eastAsia="zh-CN" w:bidi="ar"/>
              </w:rPr>
              <w:t>30</w:t>
            </w:r>
          </w:p>
        </w:tc>
        <w:tc>
          <w:tcPr>
            <w:tcW w:w="584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①统计范围为本年度及上年度省级下达的重点生态保护修复治理资金，执行进度以自然资源资金监测监管系统数据为准；</w:t>
            </w:r>
          </w:p>
          <w:p>
            <w:pPr>
              <w:widowControl/>
              <w:spacing w:line="240" w:lineRule="exact"/>
              <w:ind w:firstLine="0" w:firstLineChars="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kern w:val="0"/>
                <w:sz w:val="20"/>
                <w:szCs w:val="20"/>
                <w:lang w:bidi="ar"/>
              </w:rPr>
              <w:t>②</w:t>
            </w:r>
            <w:r>
              <w:rPr>
                <w:rFonts w:hint="eastAsia" w:ascii="宋体" w:hAnsi="宋体" w:eastAsia="宋体" w:cs="宋体"/>
                <w:i w:val="0"/>
                <w:iCs w:val="0"/>
                <w:color w:val="auto"/>
                <w:kern w:val="0"/>
                <w:sz w:val="20"/>
                <w:szCs w:val="20"/>
                <w:u w:val="none"/>
                <w:lang w:val="en-US" w:eastAsia="zh-CN" w:bidi="ar"/>
              </w:rPr>
              <w:t>下达时间在半年以上一年以内的资金，资金执行大于50%得30分，50%到45%(不含50%)得27分,45%到40%(不含45%)得24分,40%到35%(不含40%)得21分,35%到30%(不含35%)得18分,30%到25%(不含30%)得15分,25%到20%(不含25%)得12分,20%到15%(不含20%)得9分,15%到10%(不含15%)得6分,10%到5%(不含10%)得3分,5%以下(不含5%)不得分；</w:t>
            </w:r>
          </w:p>
          <w:p>
            <w:pPr>
              <w:widowControl/>
              <w:spacing w:line="240" w:lineRule="exact"/>
              <w:ind w:firstLine="0" w:firstLineChars="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③下达时间在一年以上的资金，资金执行大于80%得30分，80%到75%(不含80%)得27分,75%到70%(不含75%)得24分,70%到65%(不含70%)得21分,65%到60%(不含65%)得18分,60%到55%(不含60%)得15分,55%到50%(不含55%)得12分,50%到45%(不含50%)得9分,45%到40%(不含45%)得6分,40%到35%(不含40%)得3分,35%以下(不含35%)不得分；</w:t>
            </w:r>
          </w:p>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④各时间段下达资金分值按资金占比计算。</w:t>
            </w:r>
          </w:p>
        </w:tc>
        <w:tc>
          <w:tcPr>
            <w:tcW w:w="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0"/>
                <w:szCs w:val="20"/>
                <w:u w:val="none"/>
              </w:rPr>
            </w:pPr>
          </w:p>
        </w:tc>
        <w:tc>
          <w:tcPr>
            <w:tcW w:w="10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0"/>
                <w:szCs w:val="20"/>
                <w:u w:val="none"/>
              </w:rPr>
            </w:pPr>
          </w:p>
        </w:tc>
        <w:tc>
          <w:tcPr>
            <w:tcW w:w="32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62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项目进度</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w:t>
            </w:r>
            <w:r>
              <w:rPr>
                <w:rFonts w:hint="eastAsia" w:ascii="宋体" w:hAnsi="宋体" w:cs="宋体"/>
                <w:i w:val="0"/>
                <w:iCs w:val="0"/>
                <w:color w:val="auto"/>
                <w:kern w:val="0"/>
                <w:sz w:val="20"/>
                <w:szCs w:val="20"/>
                <w:u w:val="none"/>
                <w:lang w:val="en-US" w:eastAsia="zh-CN" w:bidi="ar"/>
              </w:rPr>
              <w:t>30</w:t>
            </w:r>
            <w:r>
              <w:rPr>
                <w:rFonts w:hint="eastAsia" w:ascii="宋体" w:hAnsi="宋体" w:eastAsia="宋体" w:cs="宋体"/>
                <w:i w:val="0"/>
                <w:iCs w:val="0"/>
                <w:color w:val="auto"/>
                <w:kern w:val="0"/>
                <w:sz w:val="20"/>
                <w:szCs w:val="20"/>
                <w:u w:val="none"/>
                <w:lang w:val="en-US" w:eastAsia="zh-CN" w:bidi="ar"/>
              </w:rPr>
              <w:t>分）</w:t>
            </w:r>
          </w:p>
        </w:tc>
        <w:tc>
          <w:tcPr>
            <w:tcW w:w="14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调查设计</w:t>
            </w:r>
          </w:p>
        </w:tc>
        <w:tc>
          <w:tcPr>
            <w:tcW w:w="5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0"/>
                <w:szCs w:val="20"/>
                <w:u w:val="none"/>
                <w:lang w:val="en-US"/>
              </w:rPr>
            </w:pPr>
            <w:r>
              <w:rPr>
                <w:rFonts w:hint="eastAsia" w:ascii="宋体" w:hAnsi="宋体" w:eastAsia="宋体" w:cs="宋体"/>
                <w:i w:val="0"/>
                <w:iCs w:val="0"/>
                <w:color w:val="auto"/>
                <w:kern w:val="0"/>
                <w:sz w:val="20"/>
                <w:szCs w:val="20"/>
                <w:u w:val="none"/>
                <w:lang w:val="en-US" w:eastAsia="zh-CN" w:bidi="ar"/>
              </w:rPr>
              <w:t>5</w:t>
            </w:r>
          </w:p>
        </w:tc>
        <w:tc>
          <w:tcPr>
            <w:tcW w:w="58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①依据现状调查确定修复面积、消除地质安全隐患、边坡修复、恢复植被或复垦耕地或综合利用等数量指标（3分），绩效目标完整得3分，不完整每少一项扣1分；</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②参照周边生态环境合理确定自然恢复、辅助再生、生态重塑等修复措施，消除安全隐患，防止水土流失，提升土地利用价值（2分），设计合理得2分，不合理不得分。</w:t>
            </w:r>
          </w:p>
        </w:tc>
        <w:tc>
          <w:tcPr>
            <w:tcW w:w="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0"/>
                <w:szCs w:val="20"/>
                <w:u w:val="none"/>
              </w:rPr>
            </w:pPr>
          </w:p>
        </w:tc>
        <w:tc>
          <w:tcPr>
            <w:tcW w:w="10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0"/>
                <w:szCs w:val="20"/>
                <w:u w:val="none"/>
              </w:rPr>
            </w:pPr>
          </w:p>
        </w:tc>
        <w:tc>
          <w:tcPr>
            <w:tcW w:w="32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62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0"/>
                <w:szCs w:val="20"/>
                <w:u w:val="none"/>
              </w:rPr>
            </w:pPr>
          </w:p>
        </w:tc>
        <w:tc>
          <w:tcPr>
            <w:tcW w:w="14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修复工程</w:t>
            </w:r>
          </w:p>
        </w:tc>
        <w:tc>
          <w:tcPr>
            <w:tcW w:w="5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宋体" w:hAnsi="宋体" w:eastAsia="宋体" w:cs="宋体"/>
                <w:i w:val="0"/>
                <w:iCs w:val="0"/>
                <w:color w:val="auto"/>
                <w:sz w:val="20"/>
                <w:szCs w:val="20"/>
                <w:u w:val="none"/>
                <w:lang w:val="en-US"/>
              </w:rPr>
            </w:pPr>
            <w:r>
              <w:rPr>
                <w:rFonts w:hint="eastAsia" w:ascii="宋体" w:hAnsi="宋体" w:cs="宋体"/>
                <w:i w:val="0"/>
                <w:iCs w:val="0"/>
                <w:color w:val="auto"/>
                <w:kern w:val="0"/>
                <w:sz w:val="20"/>
                <w:szCs w:val="20"/>
                <w:u w:val="none"/>
                <w:lang w:val="en-US" w:eastAsia="zh-CN" w:bidi="ar"/>
              </w:rPr>
              <w:t>20</w:t>
            </w:r>
          </w:p>
        </w:tc>
        <w:tc>
          <w:tcPr>
            <w:tcW w:w="58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仿宋_GB2312" w:hAnsi="宋体" w:eastAsia="仿宋_GB2312" w:cs="仿宋_GB2312"/>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①</w:t>
            </w:r>
            <w:r>
              <w:rPr>
                <w:rFonts w:hint="eastAsia" w:ascii="仿宋_GB2312" w:hAnsi="宋体" w:cs="仿宋_GB2312"/>
                <w:i w:val="0"/>
                <w:iCs w:val="0"/>
                <w:color w:val="auto"/>
                <w:kern w:val="0"/>
                <w:sz w:val="20"/>
                <w:szCs w:val="20"/>
                <w:u w:val="none"/>
                <w:lang w:val="en-US" w:eastAsia="zh-CN" w:bidi="ar"/>
              </w:rPr>
              <w:t>修复工程</w:t>
            </w:r>
            <w:r>
              <w:rPr>
                <w:rFonts w:hint="eastAsia" w:ascii="仿宋_GB2312" w:hAnsi="宋体" w:eastAsia="仿宋_GB2312" w:cs="仿宋_GB2312"/>
                <w:i w:val="0"/>
                <w:iCs w:val="0"/>
                <w:color w:val="auto"/>
                <w:kern w:val="0"/>
                <w:sz w:val="20"/>
                <w:szCs w:val="20"/>
                <w:u w:val="none"/>
                <w:lang w:val="en-US" w:eastAsia="zh-CN" w:bidi="ar"/>
              </w:rPr>
              <w:t>工作任务完成量≥60%得20分，60%到50%(不含60%)得16分,50%到40%(不含50%)得12分,40%到30%(不含40%)得8分,30%到20%(不含30%)得4分，20%(不含20%)以下不得分；</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②按照时间节点完成施工招标得40%，完成施工得90%，完成验收得100%的标准综合计算。</w:t>
            </w:r>
          </w:p>
        </w:tc>
        <w:tc>
          <w:tcPr>
            <w:tcW w:w="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0"/>
                <w:szCs w:val="20"/>
                <w:u w:val="none"/>
              </w:rPr>
            </w:pPr>
          </w:p>
        </w:tc>
        <w:tc>
          <w:tcPr>
            <w:tcW w:w="10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0"/>
                <w:szCs w:val="20"/>
                <w:u w:val="none"/>
              </w:rPr>
            </w:pPr>
          </w:p>
        </w:tc>
        <w:tc>
          <w:tcPr>
            <w:tcW w:w="32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62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0"/>
                <w:szCs w:val="20"/>
                <w:u w:val="none"/>
              </w:rPr>
            </w:pPr>
          </w:p>
        </w:tc>
        <w:tc>
          <w:tcPr>
            <w:tcW w:w="14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管护工程</w:t>
            </w:r>
          </w:p>
        </w:tc>
        <w:tc>
          <w:tcPr>
            <w:tcW w:w="5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0"/>
                <w:szCs w:val="20"/>
                <w:u w:val="none"/>
                <w:lang w:val="en-US"/>
              </w:rPr>
            </w:pPr>
            <w:r>
              <w:rPr>
                <w:rFonts w:hint="eastAsia" w:ascii="宋体" w:hAnsi="宋体" w:eastAsia="宋体" w:cs="宋体"/>
                <w:i w:val="0"/>
                <w:iCs w:val="0"/>
                <w:color w:val="auto"/>
                <w:kern w:val="0"/>
                <w:sz w:val="20"/>
                <w:szCs w:val="20"/>
                <w:u w:val="none"/>
                <w:lang w:val="en-US" w:eastAsia="zh-CN" w:bidi="ar"/>
              </w:rPr>
              <w:t>5</w:t>
            </w:r>
          </w:p>
        </w:tc>
        <w:tc>
          <w:tcPr>
            <w:tcW w:w="58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①工程完工后按照合同进行管护，成活率≥85%得2分；</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②移交当地政府，有相关移交手续得1分；</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③恢复植被或复垦耕地或综合利用后未返荒或撂荒得2分。</w:t>
            </w:r>
          </w:p>
        </w:tc>
        <w:tc>
          <w:tcPr>
            <w:tcW w:w="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0"/>
                <w:szCs w:val="20"/>
                <w:u w:val="none"/>
              </w:rPr>
            </w:pPr>
          </w:p>
        </w:tc>
        <w:tc>
          <w:tcPr>
            <w:tcW w:w="10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0"/>
                <w:szCs w:val="20"/>
                <w:u w:val="none"/>
              </w:rPr>
            </w:pPr>
          </w:p>
        </w:tc>
        <w:tc>
          <w:tcPr>
            <w:tcW w:w="32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162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效益评价（25分）</w:t>
            </w:r>
          </w:p>
        </w:tc>
        <w:tc>
          <w:tcPr>
            <w:tcW w:w="14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生态效益</w:t>
            </w:r>
          </w:p>
        </w:tc>
        <w:tc>
          <w:tcPr>
            <w:tcW w:w="5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58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①植被盖度达到70%以上得5分；</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②复垦后土地与周边生态环境协调统一得5分。</w:t>
            </w:r>
          </w:p>
        </w:tc>
        <w:tc>
          <w:tcPr>
            <w:tcW w:w="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0"/>
                <w:szCs w:val="20"/>
                <w:u w:val="none"/>
              </w:rPr>
            </w:pPr>
          </w:p>
        </w:tc>
        <w:tc>
          <w:tcPr>
            <w:tcW w:w="10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0"/>
                <w:szCs w:val="20"/>
                <w:u w:val="none"/>
              </w:rPr>
            </w:pPr>
          </w:p>
        </w:tc>
        <w:tc>
          <w:tcPr>
            <w:tcW w:w="32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8" w:hRule="atLeast"/>
        </w:trPr>
        <w:tc>
          <w:tcPr>
            <w:tcW w:w="162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0"/>
                <w:szCs w:val="20"/>
                <w:u w:val="none"/>
              </w:rPr>
            </w:pPr>
          </w:p>
        </w:tc>
        <w:tc>
          <w:tcPr>
            <w:tcW w:w="14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经济效益</w:t>
            </w:r>
          </w:p>
        </w:tc>
        <w:tc>
          <w:tcPr>
            <w:tcW w:w="5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58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①根据矿山生态治理恢复后给地方居民带来的额外年收入增加值与常规的正常年收入的比计算得5分；</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auto"/>
                <w:sz w:val="20"/>
                <w:szCs w:val="20"/>
                <w:u w:val="none"/>
                <w:lang w:val="en-US"/>
              </w:rPr>
            </w:pPr>
            <w:r>
              <w:rPr>
                <w:rFonts w:hint="eastAsia" w:ascii="宋体" w:hAnsi="宋体" w:eastAsia="宋体" w:cs="宋体"/>
                <w:i w:val="0"/>
                <w:iCs w:val="0"/>
                <w:color w:val="auto"/>
                <w:kern w:val="0"/>
                <w:sz w:val="20"/>
                <w:szCs w:val="20"/>
                <w:u w:val="none"/>
                <w:lang w:val="en-US" w:eastAsia="zh-CN" w:bidi="ar"/>
              </w:rPr>
              <w:t>②土地复垦利用率≥50%得5分。</w:t>
            </w:r>
          </w:p>
        </w:tc>
        <w:tc>
          <w:tcPr>
            <w:tcW w:w="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0"/>
                <w:szCs w:val="20"/>
                <w:u w:val="none"/>
              </w:rPr>
            </w:pPr>
          </w:p>
        </w:tc>
        <w:tc>
          <w:tcPr>
            <w:tcW w:w="10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0"/>
                <w:szCs w:val="20"/>
                <w:u w:val="none"/>
              </w:rPr>
            </w:pPr>
          </w:p>
        </w:tc>
        <w:tc>
          <w:tcPr>
            <w:tcW w:w="32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162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0"/>
                <w:szCs w:val="20"/>
                <w:u w:val="none"/>
              </w:rPr>
            </w:pPr>
          </w:p>
        </w:tc>
        <w:tc>
          <w:tcPr>
            <w:tcW w:w="14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社会效益</w:t>
            </w:r>
          </w:p>
        </w:tc>
        <w:tc>
          <w:tcPr>
            <w:tcW w:w="5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c>
          <w:tcPr>
            <w:tcW w:w="58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①人居环境改善得3分；</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color w:val="auto"/>
              </w:rPr>
            </w:pPr>
            <w:r>
              <w:rPr>
                <w:rFonts w:hint="eastAsia" w:ascii="宋体" w:hAnsi="宋体" w:eastAsia="宋体" w:cs="宋体"/>
                <w:i w:val="0"/>
                <w:iCs w:val="0"/>
                <w:color w:val="auto"/>
                <w:kern w:val="0"/>
                <w:sz w:val="20"/>
                <w:szCs w:val="20"/>
                <w:u w:val="none"/>
                <w:lang w:val="en-US" w:eastAsia="zh-CN" w:bidi="ar"/>
              </w:rPr>
              <w:t>②防灾能力提升得2分。</w:t>
            </w:r>
          </w:p>
        </w:tc>
        <w:tc>
          <w:tcPr>
            <w:tcW w:w="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0"/>
                <w:szCs w:val="20"/>
                <w:u w:val="none"/>
              </w:rPr>
            </w:pPr>
          </w:p>
        </w:tc>
        <w:tc>
          <w:tcPr>
            <w:tcW w:w="10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0"/>
                <w:szCs w:val="20"/>
                <w:u w:val="none"/>
              </w:rPr>
            </w:pPr>
          </w:p>
        </w:tc>
        <w:tc>
          <w:tcPr>
            <w:tcW w:w="32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627" w:type="dxa"/>
            <w:vMerge w:val="restart"/>
            <w:tcBorders>
              <w:top w:val="single" w:color="000000" w:sz="4" w:space="0"/>
              <w:left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0"/>
                <w:szCs w:val="20"/>
                <w:u w:val="none"/>
                <w:lang w:val="en-US" w:eastAsia="zh-CN" w:bidi="ar"/>
              </w:rPr>
              <w:t>加分项</w:t>
            </w:r>
            <w:r>
              <w:rPr>
                <w:rFonts w:hint="eastAsia" w:ascii="宋体" w:hAnsi="宋体" w:eastAsia="宋体" w:cs="宋体"/>
                <w:i w:val="0"/>
                <w:iCs w:val="0"/>
                <w:color w:val="auto"/>
                <w:kern w:val="0"/>
                <w:sz w:val="20"/>
                <w:szCs w:val="20"/>
                <w:u w:val="none"/>
                <w:lang w:val="en-US" w:eastAsia="zh-CN" w:bidi="ar"/>
              </w:rPr>
              <w:t>（10分）</w:t>
            </w:r>
          </w:p>
        </w:tc>
        <w:tc>
          <w:tcPr>
            <w:tcW w:w="14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bCs/>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本级财政投入情况</w:t>
            </w:r>
          </w:p>
        </w:tc>
        <w:tc>
          <w:tcPr>
            <w:tcW w:w="5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auto"/>
                <w:kern w:val="0"/>
                <w:sz w:val="20"/>
                <w:szCs w:val="20"/>
                <w:u w:val="none"/>
                <w:lang w:val="en-US" w:eastAsia="zh-CN" w:bidi="ar"/>
              </w:rPr>
            </w:pPr>
            <w:r>
              <w:rPr>
                <w:rFonts w:hint="eastAsia" w:ascii="宋体" w:hAnsi="宋体" w:eastAsia="宋体" w:cs="宋体"/>
                <w:b w:val="0"/>
                <w:bCs w:val="0"/>
                <w:i w:val="0"/>
                <w:iCs w:val="0"/>
                <w:color w:val="auto"/>
                <w:kern w:val="0"/>
                <w:sz w:val="20"/>
                <w:szCs w:val="20"/>
                <w:u w:val="none"/>
                <w:lang w:val="en-US" w:eastAsia="zh-CN" w:bidi="ar"/>
              </w:rPr>
              <w:t>5</w:t>
            </w:r>
          </w:p>
        </w:tc>
        <w:tc>
          <w:tcPr>
            <w:tcW w:w="5847"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①此项为加分项，本级财政筹措资金（含本级财政投入、引入社会资本，不含盘活往年结余资金）与当年度省级下达补助资金比值大于50%的加5分，大于40%的加4分，以此类推。</w:t>
            </w:r>
          </w:p>
        </w:tc>
        <w:tc>
          <w:tcPr>
            <w:tcW w:w="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auto"/>
                <w:kern w:val="0"/>
                <w:sz w:val="20"/>
                <w:szCs w:val="20"/>
                <w:u w:val="none"/>
                <w:lang w:val="en-US" w:eastAsia="zh-CN" w:bidi="ar"/>
              </w:rPr>
            </w:pPr>
          </w:p>
        </w:tc>
        <w:tc>
          <w:tcPr>
            <w:tcW w:w="10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auto"/>
                <w:kern w:val="0"/>
                <w:sz w:val="20"/>
                <w:szCs w:val="20"/>
                <w:u w:val="none"/>
                <w:lang w:val="en-US" w:eastAsia="zh-CN" w:bidi="ar"/>
              </w:rPr>
            </w:pPr>
          </w:p>
        </w:tc>
        <w:tc>
          <w:tcPr>
            <w:tcW w:w="32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bCs/>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627" w:type="dxa"/>
            <w:vMerge w:val="continue"/>
            <w:tcBorders>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kern w:val="0"/>
                <w:sz w:val="20"/>
                <w:szCs w:val="20"/>
                <w:u w:val="none"/>
                <w:lang w:val="en-US" w:eastAsia="zh-CN" w:bidi="ar"/>
              </w:rPr>
            </w:pPr>
          </w:p>
        </w:tc>
        <w:tc>
          <w:tcPr>
            <w:tcW w:w="14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探索利用市场化方式推进矿山生态修复</w:t>
            </w:r>
          </w:p>
        </w:tc>
        <w:tc>
          <w:tcPr>
            <w:tcW w:w="5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auto"/>
                <w:kern w:val="0"/>
                <w:sz w:val="20"/>
                <w:szCs w:val="20"/>
                <w:u w:val="none"/>
                <w:lang w:val="en-US" w:eastAsia="zh-CN" w:bidi="ar"/>
              </w:rPr>
            </w:pPr>
            <w:r>
              <w:rPr>
                <w:rFonts w:hint="eastAsia" w:ascii="宋体" w:hAnsi="宋体" w:eastAsia="宋体" w:cs="宋体"/>
                <w:b w:val="0"/>
                <w:bCs w:val="0"/>
                <w:i w:val="0"/>
                <w:iCs w:val="0"/>
                <w:color w:val="auto"/>
                <w:kern w:val="0"/>
                <w:sz w:val="20"/>
                <w:szCs w:val="20"/>
                <w:u w:val="none"/>
                <w:lang w:val="en-US" w:eastAsia="zh-CN" w:bidi="ar"/>
              </w:rPr>
              <w:t>5</w:t>
            </w:r>
          </w:p>
        </w:tc>
        <w:tc>
          <w:tcPr>
            <w:tcW w:w="5847"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按照《自然资源部关于探索利用市场化方式推进矿山生态修复的实施意见》精神，积极探索利用市场化方式推进矿山生态修复，成效显著的加5分。</w:t>
            </w:r>
          </w:p>
        </w:tc>
        <w:tc>
          <w:tcPr>
            <w:tcW w:w="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auto"/>
                <w:kern w:val="0"/>
                <w:sz w:val="20"/>
                <w:szCs w:val="20"/>
                <w:u w:val="none"/>
                <w:lang w:val="en-US" w:eastAsia="zh-CN" w:bidi="ar"/>
              </w:rPr>
            </w:pPr>
          </w:p>
        </w:tc>
        <w:tc>
          <w:tcPr>
            <w:tcW w:w="10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auto"/>
                <w:kern w:val="0"/>
                <w:sz w:val="20"/>
                <w:szCs w:val="20"/>
                <w:u w:val="none"/>
                <w:lang w:val="en-US" w:eastAsia="zh-CN" w:bidi="ar"/>
              </w:rPr>
            </w:pPr>
          </w:p>
        </w:tc>
        <w:tc>
          <w:tcPr>
            <w:tcW w:w="32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bCs/>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6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合 计</w:t>
            </w:r>
          </w:p>
        </w:tc>
        <w:tc>
          <w:tcPr>
            <w:tcW w:w="1446"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val="0"/>
                <w:bCs w:val="0"/>
                <w:i w:val="0"/>
                <w:iCs w:val="0"/>
                <w:color w:val="auto"/>
                <w:sz w:val="20"/>
                <w:szCs w:val="20"/>
                <w:u w:val="none"/>
              </w:rPr>
            </w:pPr>
          </w:p>
        </w:tc>
        <w:tc>
          <w:tcPr>
            <w:tcW w:w="5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auto"/>
                <w:sz w:val="20"/>
                <w:szCs w:val="20"/>
                <w:u w:val="none"/>
              </w:rPr>
            </w:pPr>
            <w:r>
              <w:rPr>
                <w:rFonts w:hint="eastAsia" w:ascii="宋体" w:hAnsi="宋体" w:eastAsia="宋体" w:cs="宋体"/>
                <w:b w:val="0"/>
                <w:bCs w:val="0"/>
                <w:i w:val="0"/>
                <w:iCs w:val="0"/>
                <w:color w:val="auto"/>
                <w:kern w:val="0"/>
                <w:sz w:val="16"/>
                <w:szCs w:val="16"/>
                <w:u w:val="none"/>
                <w:lang w:val="en-US" w:eastAsia="zh-CN" w:bidi="ar"/>
              </w:rPr>
              <w:t>100</w:t>
            </w:r>
            <w:r>
              <w:rPr>
                <w:rFonts w:hint="default" w:ascii="宋体" w:hAnsi="宋体" w:cs="宋体"/>
                <w:b w:val="0"/>
                <w:bCs w:val="0"/>
                <w:i w:val="0"/>
                <w:iCs w:val="0"/>
                <w:color w:val="auto"/>
                <w:kern w:val="0"/>
                <w:sz w:val="16"/>
                <w:szCs w:val="16"/>
                <w:u w:val="none"/>
                <w:lang w:val="en" w:eastAsia="zh-CN" w:bidi="ar"/>
              </w:rPr>
              <w:t>(</w:t>
            </w:r>
            <w:r>
              <w:rPr>
                <w:rFonts w:hint="eastAsia" w:ascii="宋体" w:hAnsi="宋体" w:cs="宋体"/>
                <w:b w:val="0"/>
                <w:bCs w:val="0"/>
                <w:i w:val="0"/>
                <w:iCs w:val="0"/>
                <w:color w:val="auto"/>
                <w:kern w:val="0"/>
                <w:sz w:val="16"/>
                <w:szCs w:val="16"/>
                <w:u w:val="none"/>
                <w:lang w:val="en-US" w:eastAsia="zh-CN" w:bidi="ar"/>
              </w:rPr>
              <w:t>110）</w:t>
            </w:r>
          </w:p>
        </w:tc>
        <w:tc>
          <w:tcPr>
            <w:tcW w:w="5847"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val="0"/>
                <w:bCs w:val="0"/>
                <w:i w:val="0"/>
                <w:iCs w:val="0"/>
                <w:color w:val="auto"/>
                <w:sz w:val="20"/>
                <w:szCs w:val="20"/>
                <w:u w:val="none"/>
              </w:rPr>
            </w:pPr>
          </w:p>
        </w:tc>
        <w:tc>
          <w:tcPr>
            <w:tcW w:w="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auto"/>
                <w:sz w:val="20"/>
                <w:szCs w:val="20"/>
                <w:u w:val="none"/>
              </w:rPr>
            </w:pPr>
          </w:p>
        </w:tc>
        <w:tc>
          <w:tcPr>
            <w:tcW w:w="10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auto"/>
                <w:sz w:val="20"/>
                <w:szCs w:val="20"/>
                <w:u w:val="none"/>
              </w:rPr>
            </w:pPr>
          </w:p>
        </w:tc>
        <w:tc>
          <w:tcPr>
            <w:tcW w:w="32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bCs/>
                <w:i w:val="0"/>
                <w:iCs w:val="0"/>
                <w:color w:val="auto"/>
                <w:sz w:val="20"/>
                <w:szCs w:val="20"/>
                <w:u w:val="none"/>
              </w:rPr>
            </w:pPr>
          </w:p>
        </w:tc>
      </w:tr>
    </w:tbl>
    <w:p>
      <w:pPr>
        <w:pStyle w:val="2"/>
        <w:rPr>
          <w:rFonts w:hint="default" w:ascii="Times New Roman" w:hAnsi="Times New Roman" w:cs="Times New Roman"/>
          <w:lang w:val="en-US" w:eastAsia="zh-CN"/>
        </w:rPr>
        <w:sectPr>
          <w:footerReference r:id="rId3" w:type="default"/>
          <w:pgSz w:w="16783" w:h="11850" w:orient="landscape"/>
          <w:pgMar w:top="720" w:right="720" w:bottom="720" w:left="720" w:header="851" w:footer="992" w:gutter="0"/>
          <w:pgBorders>
            <w:top w:val="none" w:sz="0" w:space="0"/>
            <w:left w:val="none" w:sz="0" w:space="0"/>
            <w:bottom w:val="none" w:sz="0" w:space="0"/>
            <w:right w:val="none" w:sz="0" w:space="0"/>
          </w:pgBorders>
          <w:pgNumType w:fmt="decimal"/>
          <w:cols w:space="720" w:num="1"/>
          <w:docGrid w:type="lines" w:linePitch="312" w:charSpace="0"/>
        </w:sectPr>
      </w:pPr>
      <w:bookmarkStart w:id="0" w:name="_GoBack"/>
      <w:bookmarkEnd w:id="0"/>
    </w:p>
    <w:p/>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3"/>
                            <w:rPr>
                              <w:rFonts w:hint="eastAsia" w:eastAsia="仿宋_GB2312"/>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XSZTlzAEAAKcDAAAOAAAAAAAAAAEAIAAAAB4BAABkcnMvZTJv&#10;RG9jLnhtbFBLBQYAAAAABgAGAFkBAABcBQAAAAA=&#10;">
              <v:path/>
              <v:fill on="f" focussize="0,0"/>
              <v:stroke on="f"/>
              <v:imagedata o:title=""/>
              <o:lock v:ext="edit" aspectratio="f"/>
              <v:textbox inset="0mm,0mm,0mm,0mm" style="mso-fit-shape-to-text:t;">
                <w:txbxContent>
                  <w:p>
                    <w:pPr>
                      <w:pStyle w:val="3"/>
                      <w:rPr>
                        <w:rFonts w:hint="eastAsia" w:eastAsia="仿宋_GB2312"/>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E3ZmMzYWM4NTc2ZGRhYmIyOGM3NmNiMDlmMjdmYjEifQ=="/>
  </w:docVars>
  <w:rsids>
    <w:rsidRoot w:val="00000000"/>
    <w:rsid w:val="3C614F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spacing w:line="360" w:lineRule="auto"/>
      <w:jc w:val="both"/>
    </w:pPr>
    <w:rPr>
      <w:rFonts w:ascii="黑体" w:hAnsi="Times New Roman" w:eastAsia="黑体" w:cs="黑体"/>
      <w:color w:val="000000"/>
      <w:sz w:val="24"/>
      <w:szCs w:val="24"/>
      <w:lang w:val="en-US" w:eastAsia="zh-CN" w:bidi="ar-SA"/>
    </w:rPr>
  </w:style>
  <w:style w:type="paragraph" w:styleId="3">
    <w:name w:val="footer"/>
    <w:basedOn w:val="1"/>
    <w:uiPriority w:val="0"/>
    <w:pPr>
      <w:tabs>
        <w:tab w:val="center" w:pos="4153"/>
        <w:tab w:val="right" w:pos="8306"/>
      </w:tabs>
      <w:snapToGrid w:val="0"/>
      <w:jc w:val="left"/>
    </w:pPr>
    <w:rPr>
      <w:sz w:val="18"/>
    </w:rPr>
  </w:style>
  <w:style w:type="character" w:customStyle="1" w:styleId="6">
    <w:name w:val="font81"/>
    <w:basedOn w:val="5"/>
    <w:qFormat/>
    <w:uiPriority w:val="0"/>
    <w:rPr>
      <w:rFonts w:ascii="黑体" w:hAnsi="宋体" w:eastAsia="黑体" w:cs="黑体"/>
      <w:color w:val="000000"/>
      <w:sz w:val="44"/>
      <w:szCs w:val="44"/>
      <w:u w:val="none"/>
    </w:rPr>
  </w:style>
  <w:style w:type="character" w:customStyle="1" w:styleId="7">
    <w:name w:val="font61"/>
    <w:basedOn w:val="5"/>
    <w:qFormat/>
    <w:uiPriority w:val="0"/>
    <w:rPr>
      <w:rFonts w:ascii="仿宋_GB2312" w:eastAsia="仿宋_GB2312" w:cs="仿宋_GB2312"/>
      <w:color w:val="000000"/>
      <w:sz w:val="20"/>
      <w:szCs w:val="20"/>
      <w:u w:val="none"/>
    </w:rPr>
  </w:style>
  <w:style w:type="character" w:customStyle="1" w:styleId="8">
    <w:name w:val="font91"/>
    <w:basedOn w:val="5"/>
    <w:qFormat/>
    <w:uiPriority w:val="0"/>
    <w:rPr>
      <w:rFonts w:hint="eastAsia" w:ascii="黑体" w:hAnsi="宋体" w:eastAsia="黑体" w:cs="黑体"/>
      <w:b/>
      <w:bCs/>
      <w:color w:val="000000"/>
      <w:sz w:val="20"/>
      <w:szCs w:val="20"/>
      <w:u w:val="none"/>
    </w:rPr>
  </w:style>
  <w:style w:type="table" w:customStyle="1" w:styleId="9">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2022-06-08T07:05:12Z</dcterms:created>
  <dc:creator>Administrator</dc:creator>
  <cp:lastModifiedBy>sharrie</cp:lastModifiedBy>
  <dcterms:modified xsi:type="dcterms:W3CDTF">2022-06-08T07:05:44Z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E91844EB751E444AA19D67B0914FA257</vt:lpwstr>
  </property>
</Properties>
</file>