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cs="黑体"/>
          <w:sz w:val="32"/>
          <w:szCs w:val="32"/>
          <w:u w:val="none"/>
        </w:rPr>
      </w:pPr>
      <w:r>
        <w:rPr>
          <w:rFonts w:hint="eastAsia" w:ascii="Times New Roman" w:hAnsi="Times New Roman" w:eastAsia="黑体" w:cs="黑体"/>
          <w:b w:val="0"/>
          <w:bCs w:val="0"/>
          <w:sz w:val="32"/>
          <w:szCs w:val="32"/>
          <w:u w:val="none"/>
        </w:rPr>
        <w:t>附件</w:t>
      </w:r>
      <w:r>
        <w:rPr>
          <w:rFonts w:hint="eastAsia" w:ascii="Times New Roman" w:hAnsi="Times New Roman" w:eastAsia="黑体" w:cs="黑体"/>
          <w:b w:val="0"/>
          <w:bCs w:val="0"/>
          <w:sz w:val="32"/>
          <w:szCs w:val="32"/>
          <w:u w:val="none"/>
          <w:lang w:val="en-US" w:eastAsia="zh-CN"/>
        </w:rPr>
        <w:t>2</w:t>
      </w:r>
    </w:p>
    <w:p>
      <w:pPr>
        <w:keepNext w:val="0"/>
        <w:keepLines w:val="0"/>
        <w:pageBreakBefore w:val="0"/>
        <w:widowControl w:val="0"/>
        <w:kinsoku/>
        <w:wordWrap/>
        <w:overflowPunct/>
        <w:topLinePunct w:val="0"/>
        <w:autoSpaceDE/>
        <w:bidi w:val="0"/>
        <w:spacing w:line="20" w:lineRule="exact"/>
        <w:rPr>
          <w:rFonts w:ascii="Times New Roman" w:hAnsi="Times New Roman"/>
          <w:u w:val="none"/>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b w:val="0"/>
          <w:bCs w:val="0"/>
          <w:sz w:val="44"/>
          <w:szCs w:val="44"/>
          <w:u w:val="none"/>
        </w:rPr>
      </w:pPr>
      <w:bookmarkStart w:id="0" w:name="_GoBack"/>
      <w:r>
        <w:rPr>
          <w:rFonts w:hint="eastAsia" w:ascii="Times New Roman" w:hAnsi="Times New Roman" w:eastAsia="方正小标宋简体" w:cs="方正小标宋简体"/>
          <w:b w:val="0"/>
          <w:bCs w:val="0"/>
          <w:sz w:val="44"/>
          <w:szCs w:val="44"/>
          <w:u w:val="none"/>
        </w:rPr>
        <w:t>采矿权</w:t>
      </w:r>
      <w:r>
        <w:rPr>
          <w:rFonts w:hint="eastAsia" w:ascii="Times New Roman" w:hAnsi="Times New Roman" w:eastAsia="方正小标宋简体" w:cs="方正小标宋简体"/>
          <w:b w:val="0"/>
          <w:bCs w:val="0"/>
          <w:sz w:val="44"/>
          <w:szCs w:val="44"/>
          <w:u w:val="none"/>
          <w:lang w:eastAsia="zh-CN"/>
        </w:rPr>
        <w:t>登记</w:t>
      </w:r>
      <w:r>
        <w:rPr>
          <w:rFonts w:hint="eastAsia" w:ascii="Times New Roman" w:hAnsi="Times New Roman" w:eastAsia="方正小标宋简体" w:cs="方正小标宋简体"/>
          <w:b w:val="0"/>
          <w:bCs w:val="0"/>
          <w:sz w:val="44"/>
          <w:szCs w:val="44"/>
          <w:u w:val="none"/>
        </w:rPr>
        <w:t>申请资料清单及要求</w:t>
      </w:r>
    </w:p>
    <w:bookmarkEnd w:id="0"/>
    <w:tbl>
      <w:tblPr>
        <w:tblStyle w:val="4"/>
        <w:tblW w:w="13696" w:type="dxa"/>
        <w:jc w:val="center"/>
        <w:tblInd w:w="0" w:type="dxa"/>
        <w:tblLayout w:type="fixed"/>
        <w:tblCellMar>
          <w:top w:w="0" w:type="dxa"/>
          <w:left w:w="108" w:type="dxa"/>
          <w:bottom w:w="0" w:type="dxa"/>
          <w:right w:w="108" w:type="dxa"/>
        </w:tblCellMar>
      </w:tblPr>
      <w:tblGrid>
        <w:gridCol w:w="563"/>
        <w:gridCol w:w="1757"/>
        <w:gridCol w:w="473"/>
        <w:gridCol w:w="444"/>
        <w:gridCol w:w="490"/>
        <w:gridCol w:w="743"/>
        <w:gridCol w:w="735"/>
        <w:gridCol w:w="1050"/>
        <w:gridCol w:w="735"/>
        <w:gridCol w:w="525"/>
        <w:gridCol w:w="6181"/>
      </w:tblGrid>
      <w:tr>
        <w:tblPrEx>
          <w:tblLayout w:type="fixed"/>
          <w:tblCellMar>
            <w:top w:w="0" w:type="dxa"/>
            <w:left w:w="108" w:type="dxa"/>
            <w:bottom w:w="0" w:type="dxa"/>
            <w:right w:w="108" w:type="dxa"/>
          </w:tblCellMar>
        </w:tblPrEx>
        <w:trPr>
          <w:trHeight w:val="228" w:hRule="atLeast"/>
          <w:tblHeader/>
          <w:jc w:val="center"/>
        </w:trPr>
        <w:tc>
          <w:tcPr>
            <w:tcW w:w="563" w:type="dxa"/>
            <w:vMerge w:val="restart"/>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序号</w:t>
            </w:r>
          </w:p>
        </w:tc>
        <w:tc>
          <w:tcPr>
            <w:tcW w:w="1757" w:type="dxa"/>
            <w:vMerge w:val="restart"/>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kern w:val="0"/>
                <w:sz w:val="21"/>
                <w:szCs w:val="21"/>
                <w:u w:val="none"/>
              </w:rPr>
              <w:t>材料</w:t>
            </w:r>
            <w:r>
              <w:rPr>
                <w:rFonts w:hint="eastAsia" w:ascii="Times New Roman" w:hAnsi="Times New Roman" w:eastAsia="黑体" w:cs="黑体"/>
                <w:b w:val="0"/>
                <w:bCs/>
                <w:sz w:val="21"/>
                <w:szCs w:val="21"/>
                <w:u w:val="none"/>
              </w:rPr>
              <w:t>名称</w:t>
            </w:r>
          </w:p>
        </w:tc>
        <w:tc>
          <w:tcPr>
            <w:tcW w:w="473" w:type="dxa"/>
            <w:vMerge w:val="restart"/>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新立</w:t>
            </w:r>
          </w:p>
        </w:tc>
        <w:tc>
          <w:tcPr>
            <w:tcW w:w="444" w:type="dxa"/>
            <w:vMerge w:val="restart"/>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延续</w:t>
            </w:r>
          </w:p>
        </w:tc>
        <w:tc>
          <w:tcPr>
            <w:tcW w:w="490" w:type="dxa"/>
            <w:vMerge w:val="restart"/>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注销</w:t>
            </w:r>
          </w:p>
        </w:tc>
        <w:tc>
          <w:tcPr>
            <w:tcW w:w="3788" w:type="dxa"/>
            <w:gridSpan w:val="5"/>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变更</w:t>
            </w:r>
          </w:p>
        </w:tc>
        <w:tc>
          <w:tcPr>
            <w:tcW w:w="6181" w:type="dxa"/>
            <w:vMerge w:val="restart"/>
            <w:tcBorders>
              <w:top w:val="single" w:color="000000" w:sz="2" w:space="0"/>
              <w:left w:val="single" w:color="000000" w:sz="2"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要求</w:t>
            </w:r>
          </w:p>
        </w:tc>
      </w:tr>
      <w:tr>
        <w:tblPrEx>
          <w:tblLayout w:type="fixed"/>
          <w:tblCellMar>
            <w:top w:w="0" w:type="dxa"/>
            <w:left w:w="108" w:type="dxa"/>
            <w:bottom w:w="0" w:type="dxa"/>
            <w:right w:w="108" w:type="dxa"/>
          </w:tblCellMar>
        </w:tblPrEx>
        <w:trPr>
          <w:trHeight w:val="1152" w:hRule="atLeast"/>
          <w:tblHeader/>
          <w:jc w:val="center"/>
        </w:trPr>
        <w:tc>
          <w:tcPr>
            <w:tcW w:w="563" w:type="dxa"/>
            <w:vMerge w:val="continue"/>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spacing w:after="0" w:line="240" w:lineRule="auto"/>
              <w:rPr>
                <w:rFonts w:hint="eastAsia" w:ascii="Times New Roman" w:hAnsi="Times New Roman" w:eastAsia="黑体" w:cs="黑体"/>
                <w:b w:val="0"/>
                <w:bCs/>
                <w:sz w:val="21"/>
                <w:szCs w:val="21"/>
                <w:u w:val="none"/>
              </w:rPr>
            </w:pPr>
          </w:p>
        </w:tc>
        <w:tc>
          <w:tcPr>
            <w:tcW w:w="1757" w:type="dxa"/>
            <w:vMerge w:val="continue"/>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spacing w:after="0" w:line="240" w:lineRule="auto"/>
              <w:rPr>
                <w:rFonts w:hint="eastAsia" w:ascii="Times New Roman" w:hAnsi="Times New Roman" w:eastAsia="黑体" w:cs="黑体"/>
                <w:b w:val="0"/>
                <w:bCs/>
                <w:sz w:val="21"/>
                <w:szCs w:val="21"/>
                <w:u w:val="none"/>
              </w:rPr>
            </w:pPr>
          </w:p>
        </w:tc>
        <w:tc>
          <w:tcPr>
            <w:tcW w:w="473" w:type="dxa"/>
            <w:vMerge w:val="continue"/>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spacing w:after="0" w:line="240" w:lineRule="auto"/>
              <w:rPr>
                <w:rFonts w:hint="eastAsia" w:ascii="Times New Roman" w:hAnsi="Times New Roman" w:eastAsia="黑体" w:cs="黑体"/>
                <w:b w:val="0"/>
                <w:bCs/>
                <w:sz w:val="21"/>
                <w:szCs w:val="21"/>
                <w:u w:val="none"/>
              </w:rPr>
            </w:pPr>
          </w:p>
        </w:tc>
        <w:tc>
          <w:tcPr>
            <w:tcW w:w="444" w:type="dxa"/>
            <w:vMerge w:val="continue"/>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spacing w:after="0" w:line="240" w:lineRule="auto"/>
              <w:rPr>
                <w:rFonts w:hint="eastAsia" w:ascii="Times New Roman" w:hAnsi="Times New Roman" w:eastAsia="黑体" w:cs="黑体"/>
                <w:b w:val="0"/>
                <w:bCs/>
                <w:sz w:val="21"/>
                <w:szCs w:val="21"/>
                <w:u w:val="none"/>
              </w:rPr>
            </w:pPr>
          </w:p>
        </w:tc>
        <w:tc>
          <w:tcPr>
            <w:tcW w:w="490" w:type="dxa"/>
            <w:vMerge w:val="continue"/>
            <w:tcBorders>
              <w:top w:val="single" w:color="000000" w:sz="2" w:space="0"/>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spacing w:after="0" w:line="240" w:lineRule="auto"/>
              <w:rPr>
                <w:rFonts w:hint="eastAsia" w:ascii="Times New Roman" w:hAnsi="Times New Roman" w:eastAsia="黑体" w:cs="黑体"/>
                <w:b w:val="0"/>
                <w:bCs/>
                <w:sz w:val="21"/>
                <w:szCs w:val="21"/>
                <w:u w:val="none"/>
              </w:rPr>
            </w:pP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扩大矿区范围</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缩小矿区范围</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开采主矿种、开采方式</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采矿权人名称</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黑体" w:cs="黑体"/>
                <w:b w:val="0"/>
                <w:bCs/>
                <w:sz w:val="21"/>
                <w:szCs w:val="21"/>
                <w:u w:val="none"/>
              </w:rPr>
            </w:pPr>
            <w:r>
              <w:rPr>
                <w:rFonts w:hint="eastAsia" w:ascii="Times New Roman" w:hAnsi="Times New Roman" w:eastAsia="黑体" w:cs="黑体"/>
                <w:b w:val="0"/>
                <w:bCs/>
                <w:sz w:val="21"/>
                <w:szCs w:val="21"/>
                <w:u w:val="none"/>
              </w:rPr>
              <w:t>转让</w:t>
            </w:r>
          </w:p>
        </w:tc>
        <w:tc>
          <w:tcPr>
            <w:tcW w:w="6181" w:type="dxa"/>
            <w:vMerge w:val="continue"/>
            <w:tcBorders>
              <w:left w:val="single" w:color="000000" w:sz="2"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rPr>
                <w:rFonts w:hint="eastAsia" w:ascii="Times New Roman" w:hAnsi="Times New Roman" w:eastAsia="黑体" w:cs="黑体"/>
                <w:b w:val="0"/>
                <w:bCs/>
                <w:sz w:val="21"/>
                <w:szCs w:val="21"/>
                <w:u w:val="none"/>
              </w:rPr>
            </w:pPr>
          </w:p>
        </w:tc>
      </w:tr>
      <w:tr>
        <w:tblPrEx>
          <w:tblLayout w:type="fixed"/>
          <w:tblCellMar>
            <w:top w:w="0" w:type="dxa"/>
            <w:left w:w="108" w:type="dxa"/>
            <w:bottom w:w="0" w:type="dxa"/>
            <w:right w:w="108" w:type="dxa"/>
          </w:tblCellMar>
        </w:tblPrEx>
        <w:trPr>
          <w:trHeight w:val="1062"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1</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采矿权申请登记书或申请书</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转让采矿权的，提交转让申请书和变更申请登记书。</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lang w:val="en-US" w:eastAsia="zh-CN"/>
              </w:rPr>
            </w:pPr>
            <w:r>
              <w:rPr>
                <w:rFonts w:hint="eastAsia" w:ascii="Times New Roman" w:hAnsi="Times New Roman" w:eastAsia="仿宋_GB2312" w:cs="仿宋_GB2312"/>
                <w:sz w:val="21"/>
                <w:szCs w:val="21"/>
                <w:u w:val="none"/>
              </w:rPr>
              <w:t>2</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lang w:val="en-US" w:eastAsia="zh-CN"/>
              </w:rPr>
            </w:pPr>
            <w:r>
              <w:rPr>
                <w:rFonts w:hint="eastAsia" w:ascii="Times New Roman" w:hAnsi="Times New Roman" w:eastAsia="仿宋_GB2312" w:cs="仿宋_GB2312"/>
                <w:kern w:val="0"/>
                <w:sz w:val="21"/>
                <w:szCs w:val="21"/>
                <w:u w:val="none"/>
              </w:rPr>
              <w:t>矿产资源储量评审备案文件</w:t>
            </w:r>
            <w:r>
              <w:rPr>
                <w:rFonts w:hint="eastAsia" w:ascii="Times New Roman" w:hAnsi="Times New Roman" w:eastAsia="仿宋_GB2312" w:cs="仿宋_GB2312"/>
                <w:kern w:val="0"/>
                <w:sz w:val="21"/>
                <w:szCs w:val="21"/>
                <w:u w:val="none"/>
                <w:lang w:val="en-US" w:eastAsia="zh-CN"/>
              </w:rPr>
              <w:t xml:space="preserve">                                                                                                                                                                                                                                                                                                                                                                                                                                                                                                                                                                                                                                                                                                                                                                                                                                                                                                                                                                                                                                                                                                                                                                                                                                                                                                                                                                                                                                                                                        </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1.</w:t>
            </w:r>
            <w:r>
              <w:rPr>
                <w:rFonts w:hint="eastAsia" w:ascii="Times New Roman" w:hAnsi="Times New Roman" w:eastAsia="仿宋_GB2312" w:cs="仿宋_GB2312"/>
                <w:sz w:val="21"/>
                <w:szCs w:val="21"/>
                <w:u w:val="none"/>
                <w:lang w:eastAsia="zh-CN"/>
              </w:rPr>
              <w:t>申请探转采</w:t>
            </w:r>
            <w:r>
              <w:rPr>
                <w:rFonts w:hint="eastAsia" w:ascii="Times New Roman" w:hAnsi="Times New Roman" w:eastAsia="仿宋_GB2312" w:cs="仿宋_GB2312"/>
                <w:sz w:val="21"/>
                <w:szCs w:val="21"/>
                <w:u w:val="none"/>
              </w:rPr>
              <w:t>新立</w:t>
            </w:r>
            <w:r>
              <w:rPr>
                <w:rFonts w:hint="eastAsia" w:ascii="Times New Roman" w:hAnsi="Times New Roman" w:eastAsia="仿宋_GB2312" w:cs="仿宋_GB2312"/>
                <w:sz w:val="21"/>
                <w:szCs w:val="21"/>
                <w:u w:val="none"/>
                <w:lang w:eastAsia="zh-CN"/>
              </w:rPr>
              <w:t>的，提交经评审备案的储量评审意见书。</w:t>
            </w:r>
          </w:p>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2.申请延续</w:t>
            </w:r>
            <w:r>
              <w:rPr>
                <w:rFonts w:hint="eastAsia" w:ascii="Times New Roman" w:hAnsi="Times New Roman" w:eastAsia="仿宋_GB2312" w:cs="仿宋_GB2312"/>
                <w:sz w:val="21"/>
                <w:szCs w:val="21"/>
                <w:u w:val="none"/>
                <w:lang w:eastAsia="zh-CN"/>
              </w:rPr>
              <w:t>的，</w:t>
            </w:r>
            <w:r>
              <w:rPr>
                <w:rFonts w:hint="eastAsia" w:ascii="Times New Roman" w:hAnsi="Times New Roman" w:eastAsia="仿宋_GB2312" w:cs="仿宋_GB2312"/>
                <w:kern w:val="0"/>
                <w:sz w:val="21"/>
                <w:szCs w:val="21"/>
                <w:u w:val="none"/>
              </w:rPr>
              <w:t>油气项目提交</w:t>
            </w:r>
            <w:r>
              <w:rPr>
                <w:rFonts w:hint="eastAsia" w:ascii="Times New Roman" w:hAnsi="Times New Roman" w:eastAsia="仿宋_GB2312" w:cs="仿宋_GB2312"/>
                <w:color w:val="auto"/>
                <w:sz w:val="21"/>
                <w:szCs w:val="21"/>
                <w:u w:val="none"/>
              </w:rPr>
              <w:t>探明已开发油气田可采储量标定报告或矿产资源储量评审备案文件</w:t>
            </w:r>
            <w:r>
              <w:rPr>
                <w:rFonts w:hint="eastAsia" w:ascii="Times New Roman" w:hAnsi="Times New Roman" w:eastAsia="仿宋_GB2312" w:cs="仿宋_GB2312"/>
                <w:kern w:val="0"/>
                <w:sz w:val="21"/>
                <w:szCs w:val="21"/>
                <w:u w:val="none"/>
                <w:lang w:eastAsia="zh-CN"/>
              </w:rPr>
              <w:t>；</w:t>
            </w:r>
            <w:r>
              <w:rPr>
                <w:rFonts w:hint="eastAsia" w:ascii="Times New Roman" w:hAnsi="Times New Roman" w:eastAsia="仿宋_GB2312" w:cs="仿宋_GB2312"/>
                <w:kern w:val="0"/>
                <w:sz w:val="21"/>
                <w:szCs w:val="21"/>
                <w:u w:val="none"/>
              </w:rPr>
              <w:t>非油气项目提交</w:t>
            </w:r>
            <w:r>
              <w:rPr>
                <w:rFonts w:hint="eastAsia" w:ascii="Times New Roman" w:hAnsi="Times New Roman" w:eastAsia="仿宋_GB2312" w:cs="仿宋_GB2312"/>
                <w:kern w:val="0"/>
                <w:sz w:val="21"/>
                <w:szCs w:val="21"/>
                <w:u w:val="none"/>
                <w:lang w:eastAsia="zh-CN"/>
              </w:rPr>
              <w:t>经</w:t>
            </w:r>
            <w:r>
              <w:rPr>
                <w:rFonts w:hint="eastAsia" w:ascii="Times New Roman" w:hAnsi="Times New Roman" w:eastAsia="仿宋_GB2312" w:cs="仿宋_GB2312"/>
                <w:kern w:val="0"/>
                <w:sz w:val="21"/>
                <w:szCs w:val="21"/>
                <w:u w:val="none"/>
              </w:rPr>
              <w:t>市级自然资源</w:t>
            </w:r>
            <w:r>
              <w:rPr>
                <w:rFonts w:hint="eastAsia" w:ascii="Times New Roman" w:hAnsi="Times New Roman" w:eastAsia="仿宋_GB2312" w:cs="仿宋_GB2312"/>
                <w:kern w:val="0"/>
                <w:sz w:val="21"/>
                <w:szCs w:val="21"/>
                <w:u w:val="none"/>
                <w:lang w:eastAsia="zh-CN"/>
              </w:rPr>
              <w:t>主管</w:t>
            </w:r>
            <w:r>
              <w:rPr>
                <w:rFonts w:hint="eastAsia" w:ascii="Times New Roman" w:hAnsi="Times New Roman" w:eastAsia="仿宋_GB2312" w:cs="仿宋_GB2312"/>
                <w:kern w:val="0"/>
                <w:sz w:val="21"/>
                <w:szCs w:val="21"/>
                <w:u w:val="none"/>
              </w:rPr>
              <w:t>部门审查</w:t>
            </w:r>
            <w:r>
              <w:rPr>
                <w:rFonts w:hint="eastAsia" w:ascii="Times New Roman" w:hAnsi="Times New Roman" w:eastAsia="仿宋_GB2312" w:cs="仿宋_GB2312"/>
                <w:kern w:val="0"/>
                <w:sz w:val="21"/>
                <w:szCs w:val="21"/>
                <w:u w:val="none"/>
                <w:lang w:eastAsia="zh-CN"/>
              </w:rPr>
              <w:t>通过的</w:t>
            </w:r>
            <w:r>
              <w:rPr>
                <w:rFonts w:hint="eastAsia" w:ascii="Times New Roman" w:hAnsi="Times New Roman" w:eastAsia="仿宋_GB2312" w:cs="仿宋_GB2312"/>
                <w:kern w:val="0"/>
                <w:sz w:val="21"/>
                <w:szCs w:val="21"/>
                <w:u w:val="none"/>
              </w:rPr>
              <w:t>当年或上一年度矿山储量年报（含《矿山资源储量年度变化表》），其中属于采矿期间累计查明矿产资源量发生重大变化（变化量超过30%或达到中型规模以上的）情形的，</w:t>
            </w:r>
            <w:r>
              <w:rPr>
                <w:rFonts w:hint="eastAsia" w:ascii="Times New Roman" w:hAnsi="Times New Roman" w:eastAsia="仿宋_GB2312" w:cs="仿宋_GB2312"/>
                <w:kern w:val="0"/>
                <w:sz w:val="21"/>
                <w:szCs w:val="21"/>
                <w:u w:val="none"/>
                <w:lang w:eastAsia="zh-CN"/>
              </w:rPr>
              <w:t>应当</w:t>
            </w:r>
            <w:r>
              <w:rPr>
                <w:rFonts w:hint="eastAsia" w:ascii="Times New Roman" w:hAnsi="Times New Roman" w:eastAsia="仿宋_GB2312" w:cs="仿宋_GB2312"/>
                <w:kern w:val="0"/>
                <w:sz w:val="21"/>
                <w:szCs w:val="21"/>
                <w:u w:val="none"/>
              </w:rPr>
              <w:t>提交矿产资源储量评审备案文件。</w:t>
            </w:r>
          </w:p>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3.申请变更</w:t>
            </w:r>
            <w:r>
              <w:rPr>
                <w:rFonts w:hint="eastAsia" w:ascii="Times New Roman" w:hAnsi="Times New Roman" w:eastAsia="仿宋_GB2312" w:cs="仿宋_GB2312"/>
                <w:sz w:val="21"/>
                <w:szCs w:val="21"/>
                <w:u w:val="none"/>
                <w:lang w:eastAsia="zh-CN"/>
              </w:rPr>
              <w:t>的，</w:t>
            </w:r>
            <w:r>
              <w:rPr>
                <w:rFonts w:hint="eastAsia" w:ascii="Times New Roman" w:hAnsi="Times New Roman" w:eastAsia="仿宋_GB2312" w:cs="仿宋_GB2312"/>
                <w:sz w:val="21"/>
                <w:szCs w:val="21"/>
                <w:u w:val="none"/>
              </w:rPr>
              <w:t>提交变更后的矿产资源储量评审备案文件（其中变更开采方式</w:t>
            </w:r>
            <w:r>
              <w:rPr>
                <w:rFonts w:hint="eastAsia" w:ascii="Times New Roman" w:hAnsi="Times New Roman" w:eastAsia="仿宋_GB2312" w:cs="仿宋_GB2312"/>
                <w:sz w:val="21"/>
                <w:szCs w:val="21"/>
                <w:u w:val="none"/>
                <w:lang w:eastAsia="zh-CN"/>
              </w:rPr>
              <w:t>不需</w:t>
            </w:r>
            <w:r>
              <w:rPr>
                <w:rFonts w:hint="eastAsia" w:ascii="Times New Roman" w:hAnsi="Times New Roman" w:eastAsia="仿宋_GB2312" w:cs="仿宋_GB2312"/>
                <w:sz w:val="21"/>
                <w:szCs w:val="21"/>
                <w:u w:val="none"/>
              </w:rPr>
              <w:t>提交</w:t>
            </w:r>
            <w:r>
              <w:rPr>
                <w:rFonts w:hint="eastAsia" w:ascii="Times New Roman" w:hAnsi="Times New Roman" w:eastAsia="仿宋_GB2312" w:cs="仿宋_GB2312"/>
                <w:sz w:val="21"/>
                <w:szCs w:val="21"/>
                <w:u w:val="none"/>
                <w:lang w:eastAsia="zh-CN"/>
              </w:rPr>
              <w:t>，缩小矿区范围的在变更登记后</w:t>
            </w:r>
            <w:r>
              <w:rPr>
                <w:rFonts w:hint="eastAsia" w:ascii="Times New Roman" w:hAnsi="Times New Roman" w:eastAsia="仿宋_GB2312" w:cs="仿宋_GB2312"/>
                <w:sz w:val="21"/>
                <w:szCs w:val="21"/>
                <w:u w:val="none"/>
                <w:lang w:val="en-US" w:eastAsia="zh-CN"/>
              </w:rPr>
              <w:t>2年内完成</w:t>
            </w:r>
            <w:r>
              <w:rPr>
                <w:rFonts w:hint="eastAsia" w:ascii="Times New Roman" w:hAnsi="Times New Roman" w:eastAsia="仿宋_GB2312" w:cs="仿宋_GB2312"/>
                <w:kern w:val="0"/>
                <w:sz w:val="21"/>
                <w:szCs w:val="21"/>
                <w:u w:val="none"/>
              </w:rPr>
              <w:t>矿产资源储量评审备案</w:t>
            </w:r>
            <w:r>
              <w:rPr>
                <w:rFonts w:hint="eastAsia" w:ascii="Times New Roman" w:hAnsi="Times New Roman" w:eastAsia="仿宋_GB2312" w:cs="仿宋_GB2312"/>
                <w:sz w:val="21"/>
                <w:szCs w:val="21"/>
                <w:u w:val="none"/>
              </w:rPr>
              <w:t>）。</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3</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外商投资企业批准证书</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pacing w:after="0" w:line="240" w:lineRule="auto"/>
              <w:jc w:val="left"/>
              <w:textAlignment w:val="auto"/>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仅限于外商提出非油气</w:t>
            </w:r>
            <w:r>
              <w:rPr>
                <w:rFonts w:hint="eastAsia" w:ascii="Times New Roman" w:hAnsi="Times New Roman" w:eastAsia="仿宋_GB2312" w:cs="仿宋_GB2312"/>
                <w:sz w:val="21"/>
                <w:szCs w:val="21"/>
                <w:u w:val="none"/>
                <w:lang w:eastAsia="zh-CN"/>
              </w:rPr>
              <w:t>新立、延续、变更</w:t>
            </w:r>
            <w:r>
              <w:rPr>
                <w:rFonts w:hint="eastAsia" w:ascii="Times New Roman" w:hAnsi="Times New Roman" w:eastAsia="仿宋_GB2312" w:cs="仿宋_GB2312"/>
                <w:sz w:val="21"/>
                <w:szCs w:val="21"/>
                <w:u w:val="none"/>
              </w:rPr>
              <w:t>申请</w:t>
            </w:r>
            <w:r>
              <w:rPr>
                <w:rFonts w:hint="eastAsia" w:ascii="Times New Roman" w:hAnsi="Times New Roman" w:eastAsia="仿宋_GB2312" w:cs="仿宋_GB2312"/>
                <w:sz w:val="21"/>
                <w:szCs w:val="21"/>
                <w:u w:val="none"/>
                <w:lang w:eastAsia="zh-CN"/>
              </w:rPr>
              <w:t>，</w:t>
            </w:r>
            <w:r>
              <w:rPr>
                <w:rFonts w:hint="eastAsia" w:ascii="Times New Roman" w:hAnsi="Times New Roman" w:eastAsia="仿宋_GB2312" w:cs="仿宋_GB2312"/>
                <w:sz w:val="21"/>
                <w:szCs w:val="21"/>
                <w:u w:val="none"/>
              </w:rPr>
              <w:t>其中转让变更仅限于采矿权受让人为外商的。</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4</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采矿许可证正、副本</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rPr>
                <w:rFonts w:hint="eastAsia" w:ascii="Times New Roman" w:hAnsi="Times New Roman" w:eastAsia="仿宋_GB2312" w:cs="仿宋_GB2312"/>
                <w:color w:val="auto"/>
                <w:kern w:val="0"/>
                <w:sz w:val="21"/>
                <w:szCs w:val="21"/>
                <w:u w:val="none"/>
                <w:lang w:val="en-US" w:eastAsia="zh-CN"/>
              </w:rPr>
            </w:pPr>
            <w:r>
              <w:rPr>
                <w:rFonts w:hint="eastAsia" w:ascii="Times New Roman" w:hAnsi="Times New Roman" w:eastAsia="仿宋_GB2312" w:cs="仿宋_GB2312"/>
                <w:color w:val="auto"/>
                <w:kern w:val="0"/>
                <w:sz w:val="21"/>
                <w:szCs w:val="21"/>
                <w:u w:val="none"/>
                <w:lang w:val="en-US" w:eastAsia="zh-CN"/>
              </w:rPr>
              <w:t>申请时提供复印件或扫描件即可，不提供原件。</w:t>
            </w:r>
          </w:p>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sz w:val="21"/>
                <w:szCs w:val="21"/>
                <w:u w:val="none"/>
                <w:lang w:val="en-US" w:eastAsia="zh-CN"/>
              </w:rPr>
            </w:pP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5</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矿山地质环境保护与土地复垦方案公告结果</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color w:val="000000"/>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color w:val="000000"/>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color w:val="000000"/>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color w:val="000000"/>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color w:val="000000"/>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Times New Roman" w:hAnsi="Times New Roman" w:eastAsia="仿宋_GB2312" w:cs="仿宋_GB2312"/>
                <w:sz w:val="21"/>
                <w:szCs w:val="21"/>
                <w:u w:val="none"/>
                <w:lang w:val="en-US" w:eastAsia="zh-CN" w:bidi="ar-SA"/>
              </w:rPr>
            </w:pPr>
            <w:r>
              <w:rPr>
                <w:rFonts w:hint="eastAsia" w:ascii="Times New Roman" w:hAnsi="Times New Roman" w:eastAsia="仿宋_GB2312" w:cs="仿宋_GB2312"/>
                <w:sz w:val="21"/>
                <w:szCs w:val="21"/>
                <w:u w:val="none"/>
                <w:lang w:val="en-US" w:eastAsia="zh-CN" w:bidi="ar-SA"/>
              </w:rPr>
              <w:t>1.需要提交经有批准权的自然资源主管部门批准通过的方案和方案公告结果。</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after="0"/>
              <w:textAlignment w:val="auto"/>
              <w:rPr>
                <w:rFonts w:hint="eastAsia" w:ascii="Times New Roman" w:hAnsi="Times New Roman" w:eastAsia="仿宋_GB2312" w:cs="仿宋_GB2312"/>
                <w:sz w:val="21"/>
                <w:szCs w:val="21"/>
                <w:u w:val="none"/>
                <w:lang w:val="en-US" w:eastAsia="zh-CN" w:bidi="ar-SA"/>
              </w:rPr>
            </w:pPr>
            <w:r>
              <w:rPr>
                <w:rFonts w:hint="eastAsia" w:ascii="Times New Roman" w:hAnsi="Times New Roman" w:eastAsia="仿宋_GB2312" w:cs="仿宋_GB2312"/>
                <w:sz w:val="21"/>
                <w:szCs w:val="21"/>
                <w:u w:val="none"/>
                <w:lang w:val="en-US" w:eastAsia="zh-CN" w:bidi="ar-SA"/>
              </w:rPr>
              <w:t>2.申请延续的，方案已超出有效期或方案剩余服务期少于采矿权延续时间的，以及原矿山地质环境保护与治理恢复方案和土地复垦方案其中一个超过有效期或方案剩余服务期少于采矿权延续时间的，需要重新编制方案并报原批准机关批准。</w:t>
            </w:r>
          </w:p>
          <w:p>
            <w:pPr>
              <w:pStyle w:val="6"/>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Times New Roman" w:hAnsi="Times New Roman" w:eastAsia="仿宋_GB2312" w:cs="仿宋_GB2312"/>
                <w:sz w:val="21"/>
                <w:szCs w:val="21"/>
                <w:u w:val="none"/>
                <w:lang w:eastAsia="zh-CN"/>
              </w:rPr>
            </w:pPr>
            <w:r>
              <w:rPr>
                <w:rFonts w:hint="eastAsia" w:ascii="Times New Roman" w:hAnsi="Times New Roman" w:eastAsia="仿宋_GB2312" w:cs="仿宋_GB2312"/>
                <w:sz w:val="21"/>
                <w:szCs w:val="21"/>
                <w:u w:val="none"/>
                <w:lang w:val="en-US" w:eastAsia="zh-CN" w:bidi="ar-SA"/>
              </w:rPr>
              <w:t>3.申请扩大矿区范围变更、开采主矿种变更、开采方式变更的，需要重新编制方案并报原批准机关批准。</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6</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三叠图</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仅适用于非油气新立、扩大矿区范围申请</w:t>
            </w:r>
            <w:r>
              <w:rPr>
                <w:rFonts w:hint="eastAsia" w:ascii="Times New Roman" w:hAnsi="Times New Roman" w:eastAsia="仿宋_GB2312" w:cs="仿宋_GB2312"/>
                <w:sz w:val="21"/>
                <w:szCs w:val="21"/>
                <w:u w:val="none"/>
                <w:lang w:eastAsia="zh-CN"/>
              </w:rPr>
              <w:t>。</w:t>
            </w:r>
            <w:r>
              <w:rPr>
                <w:rFonts w:hint="eastAsia" w:ascii="Times New Roman" w:hAnsi="Times New Roman" w:eastAsia="仿宋_GB2312" w:cs="仿宋_GB2312"/>
                <w:sz w:val="21"/>
                <w:szCs w:val="21"/>
                <w:u w:val="none"/>
              </w:rPr>
              <w:t>应提交申请采矿权范围、资源储量估算范围与</w:t>
            </w:r>
            <w:r>
              <w:rPr>
                <w:rFonts w:hint="eastAsia" w:ascii="Times New Roman" w:hAnsi="Times New Roman" w:eastAsia="仿宋_GB2312" w:cs="仿宋_GB2312"/>
                <w:sz w:val="21"/>
                <w:szCs w:val="21"/>
                <w:u w:val="none"/>
                <w:lang w:eastAsia="zh-CN"/>
              </w:rPr>
              <w:t>探矿权范围（已取得划矿批复的为</w:t>
            </w:r>
            <w:r>
              <w:rPr>
                <w:rFonts w:hint="eastAsia" w:ascii="Times New Roman" w:hAnsi="Times New Roman" w:eastAsia="仿宋_GB2312" w:cs="仿宋_GB2312"/>
                <w:sz w:val="21"/>
                <w:szCs w:val="21"/>
                <w:u w:val="none"/>
              </w:rPr>
              <w:t>划定矿区范围</w:t>
            </w:r>
            <w:r>
              <w:rPr>
                <w:rFonts w:hint="eastAsia" w:ascii="Times New Roman" w:hAnsi="Times New Roman" w:eastAsia="仿宋_GB2312" w:cs="仿宋_GB2312"/>
                <w:sz w:val="21"/>
                <w:szCs w:val="21"/>
                <w:u w:val="none"/>
                <w:lang w:eastAsia="zh-CN"/>
              </w:rPr>
              <w:t>）</w:t>
            </w:r>
            <w:r>
              <w:rPr>
                <w:rFonts w:hint="eastAsia" w:ascii="Times New Roman" w:hAnsi="Times New Roman" w:eastAsia="仿宋_GB2312" w:cs="仿宋_GB2312"/>
                <w:sz w:val="21"/>
                <w:szCs w:val="21"/>
                <w:u w:val="none"/>
              </w:rPr>
              <w:t>的坐标及三者叠合图。</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7</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矿产资源开发利用方案和专家审查意见</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rPr>
                <w:rFonts w:hint="eastAsia" w:ascii="Times New Roman" w:hAnsi="Times New Roman" w:eastAsia="仿宋_GB2312" w:cs="仿宋_GB2312"/>
                <w:sz w:val="21"/>
                <w:szCs w:val="21"/>
                <w:u w:val="none"/>
                <w:lang w:val="en-US" w:eastAsia="zh-CN"/>
              </w:rPr>
            </w:pPr>
            <w:r>
              <w:rPr>
                <w:rFonts w:hint="eastAsia" w:ascii="Times New Roman" w:hAnsi="Times New Roman" w:eastAsia="仿宋_GB2312" w:cs="仿宋_GB2312"/>
                <w:sz w:val="21"/>
                <w:szCs w:val="21"/>
                <w:u w:val="none"/>
                <w:lang w:val="en-US" w:eastAsia="zh-CN"/>
              </w:rPr>
              <w:t>1.申请非油气延续、缩小矿区范围、变更采矿权人名称及转让申请的，不需要提交此资料。</w:t>
            </w:r>
          </w:p>
          <w:p>
            <w:pPr>
              <w:keepNext w:val="0"/>
              <w:keepLines w:val="0"/>
              <w:pageBreakBefore w:val="0"/>
              <w:widowControl w:val="0"/>
              <w:kinsoku/>
              <w:wordWrap/>
              <w:overflowPunct/>
              <w:topLinePunct w:val="0"/>
              <w:autoSpaceDE/>
              <w:bidi w:val="0"/>
              <w:spacing w:after="0" w:line="240" w:lineRule="auto"/>
              <w:rPr>
                <w:rFonts w:hint="eastAsia" w:ascii="Times New Roman" w:hAnsi="Times New Roman" w:eastAsia="仿宋_GB2312" w:cs="仿宋_GB2312"/>
                <w:sz w:val="21"/>
                <w:szCs w:val="21"/>
                <w:u w:val="none"/>
                <w:lang w:val="en-US" w:eastAsia="zh-CN"/>
              </w:rPr>
            </w:pPr>
            <w:r>
              <w:rPr>
                <w:rFonts w:hint="eastAsia" w:ascii="Times New Roman" w:hAnsi="Times New Roman" w:eastAsia="仿宋_GB2312" w:cs="仿宋_GB2312"/>
                <w:sz w:val="21"/>
                <w:szCs w:val="21"/>
                <w:u w:val="none"/>
                <w:lang w:val="en-US" w:eastAsia="zh-CN"/>
              </w:rPr>
              <w:t>2.</w:t>
            </w:r>
            <w:r>
              <w:rPr>
                <w:rFonts w:hint="eastAsia" w:ascii="Times New Roman" w:hAnsi="Times New Roman" w:eastAsia="仿宋_GB2312" w:cs="仿宋_GB2312"/>
                <w:sz w:val="21"/>
                <w:szCs w:val="21"/>
                <w:u w:val="none"/>
                <w:lang w:eastAsia="zh-CN"/>
              </w:rPr>
              <w:t>申请油气</w:t>
            </w:r>
            <w:r>
              <w:rPr>
                <w:rFonts w:hint="eastAsia" w:ascii="Times New Roman" w:hAnsi="Times New Roman" w:eastAsia="仿宋_GB2312" w:cs="仿宋_GB2312"/>
                <w:sz w:val="21"/>
                <w:szCs w:val="21"/>
                <w:u w:val="none"/>
              </w:rPr>
              <w:t>延续、扩大矿区范围（仅变更开采深度）</w:t>
            </w:r>
            <w:r>
              <w:rPr>
                <w:rFonts w:hint="eastAsia" w:ascii="Times New Roman" w:hAnsi="Times New Roman" w:eastAsia="仿宋_GB2312" w:cs="仿宋_GB2312"/>
                <w:sz w:val="21"/>
                <w:szCs w:val="21"/>
                <w:u w:val="none"/>
                <w:lang w:eastAsia="zh-CN"/>
              </w:rPr>
              <w:t>、</w:t>
            </w:r>
            <w:r>
              <w:rPr>
                <w:rFonts w:hint="eastAsia" w:ascii="Times New Roman" w:hAnsi="Times New Roman" w:eastAsia="仿宋_GB2312" w:cs="仿宋_GB2312"/>
                <w:sz w:val="21"/>
                <w:szCs w:val="21"/>
                <w:u w:val="none"/>
              </w:rPr>
              <w:t>缩小矿区范围、变更采矿权人名称及转让</w:t>
            </w:r>
            <w:r>
              <w:rPr>
                <w:rFonts w:hint="eastAsia" w:ascii="Times New Roman" w:hAnsi="Times New Roman" w:eastAsia="仿宋_GB2312" w:cs="仿宋_GB2312"/>
                <w:sz w:val="21"/>
                <w:szCs w:val="21"/>
                <w:u w:val="none"/>
                <w:lang w:eastAsia="zh-CN"/>
              </w:rPr>
              <w:t>的，</w:t>
            </w:r>
            <w:r>
              <w:rPr>
                <w:rFonts w:hint="eastAsia" w:ascii="Times New Roman" w:hAnsi="Times New Roman" w:eastAsia="仿宋_GB2312" w:cs="仿宋_GB2312"/>
                <w:sz w:val="21"/>
                <w:szCs w:val="21"/>
                <w:u w:val="none"/>
              </w:rPr>
              <w:t>仅需提交矿产资源开发利</w:t>
            </w:r>
            <w:r>
              <w:rPr>
                <w:rFonts w:hint="eastAsia" w:ascii="Times New Roman" w:hAnsi="Times New Roman" w:eastAsia="仿宋_GB2312" w:cs="仿宋_GB2312"/>
                <w:sz w:val="21"/>
                <w:szCs w:val="21"/>
                <w:u w:val="none"/>
                <w:lang w:val="en-US" w:eastAsia="zh-CN"/>
              </w:rPr>
              <w:t>用方案。</w:t>
            </w:r>
          </w:p>
          <w:p>
            <w:pPr>
              <w:keepNext w:val="0"/>
              <w:keepLines w:val="0"/>
              <w:pageBreakBefore w:val="0"/>
              <w:widowControl w:val="0"/>
              <w:kinsoku/>
              <w:wordWrap/>
              <w:overflowPunct/>
              <w:topLinePunct w:val="0"/>
              <w:autoSpaceDE/>
              <w:bidi w:val="0"/>
              <w:spacing w:after="0" w:line="240" w:lineRule="auto"/>
              <w:rPr>
                <w:rFonts w:hint="eastAsia" w:ascii="Times New Roman" w:hAnsi="Times New Roman" w:eastAsia="仿宋_GB2312" w:cs="仿宋_GB2312"/>
                <w:sz w:val="21"/>
                <w:szCs w:val="21"/>
                <w:u w:val="none"/>
                <w:lang w:val="en-US" w:eastAsia="zh-CN"/>
              </w:rPr>
            </w:pP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8</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2"/>
                <w:sz w:val="21"/>
                <w:szCs w:val="21"/>
                <w:highlight w:val="none"/>
                <w:u w:val="none"/>
                <w:lang w:val="en-US" w:eastAsia="zh-CN" w:bidi="ar-SA"/>
              </w:rPr>
            </w:pPr>
            <w:r>
              <w:rPr>
                <w:rFonts w:hint="eastAsia" w:ascii="Times New Roman" w:hAnsi="Times New Roman" w:eastAsia="仿宋_GB2312" w:cs="仿宋_GB2312"/>
                <w:sz w:val="21"/>
                <w:szCs w:val="21"/>
                <w:u w:val="none"/>
              </w:rPr>
              <w:t>划定矿区范围批复</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highlight w:val="none"/>
                <w:u w:val="none"/>
                <w:lang w:val="en-US" w:eastAsia="zh-CN" w:bidi="ar-SA"/>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highlight w:val="none"/>
                <w:u w:val="none"/>
                <w:lang w:val="en-US" w:eastAsia="zh-CN" w:bidi="ar-SA"/>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highlight w:val="none"/>
                <w:u w:val="none"/>
                <w:lang w:val="en-US" w:eastAsia="zh-CN" w:bidi="ar-SA"/>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highlight w:val="none"/>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highlight w:val="none"/>
                <w:u w:val="none"/>
                <w:lang w:val="en-US" w:eastAsia="zh-CN" w:bidi="ar-SA"/>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highlight w:val="none"/>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highlight w:val="none"/>
                <w:u w:val="none"/>
                <w:lang w:val="en-US" w:eastAsia="zh-CN" w:bidi="ar-SA"/>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highlight w:val="none"/>
                <w:u w:val="none"/>
                <w:lang w:val="en-US" w:eastAsia="zh-CN" w:bidi="ar-SA"/>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color w:val="FF0000"/>
                <w:sz w:val="21"/>
                <w:szCs w:val="21"/>
                <w:u w:val="none"/>
                <w:lang w:eastAsia="zh-CN"/>
              </w:rPr>
            </w:pPr>
            <w:r>
              <w:rPr>
                <w:rFonts w:hint="eastAsia" w:ascii="Times New Roman" w:hAnsi="Times New Roman" w:eastAsia="仿宋_GB2312" w:cs="仿宋_GB2312"/>
                <w:sz w:val="21"/>
                <w:szCs w:val="21"/>
                <w:u w:val="none"/>
                <w:lang w:val="en-US" w:eastAsia="zh-CN"/>
              </w:rPr>
              <w:t>1.</w:t>
            </w:r>
            <w:r>
              <w:rPr>
                <w:rFonts w:hint="eastAsia" w:ascii="Times New Roman" w:hAnsi="Times New Roman" w:eastAsia="仿宋_GB2312" w:cs="仿宋_GB2312"/>
                <w:sz w:val="21"/>
                <w:szCs w:val="21"/>
                <w:u w:val="none"/>
              </w:rPr>
              <w:t>仅适用于非油气（已</w:t>
            </w:r>
            <w:r>
              <w:rPr>
                <w:rFonts w:hint="eastAsia" w:ascii="Times New Roman" w:hAnsi="Times New Roman" w:eastAsia="仿宋_GB2312" w:cs="仿宋_GB2312"/>
                <w:sz w:val="21"/>
                <w:szCs w:val="21"/>
                <w:u w:val="none"/>
                <w:lang w:eastAsia="zh-CN"/>
              </w:rPr>
              <w:t>取得</w:t>
            </w:r>
            <w:r>
              <w:rPr>
                <w:rFonts w:hint="eastAsia" w:ascii="Times New Roman" w:hAnsi="Times New Roman" w:eastAsia="仿宋_GB2312" w:cs="仿宋_GB2312"/>
                <w:sz w:val="21"/>
                <w:szCs w:val="21"/>
                <w:u w:val="none"/>
              </w:rPr>
              <w:t>划定矿区范围批复的）</w:t>
            </w:r>
            <w:r>
              <w:rPr>
                <w:rFonts w:hint="eastAsia" w:ascii="Times New Roman" w:hAnsi="Times New Roman" w:eastAsia="仿宋_GB2312" w:cs="仿宋_GB2312"/>
                <w:sz w:val="21"/>
                <w:szCs w:val="21"/>
                <w:u w:val="none"/>
                <w:lang w:eastAsia="zh-CN"/>
              </w:rPr>
              <w:t>。</w:t>
            </w:r>
          </w:p>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lang w:val="en-US" w:eastAsia="zh-CN"/>
              </w:rPr>
              <w:t>2.</w:t>
            </w:r>
            <w:r>
              <w:rPr>
                <w:rFonts w:hint="eastAsia" w:ascii="Times New Roman" w:hAnsi="Times New Roman" w:eastAsia="仿宋_GB2312" w:cs="仿宋_GB2312"/>
                <w:sz w:val="21"/>
                <w:szCs w:val="21"/>
                <w:u w:val="none"/>
              </w:rPr>
              <w:t>办理过预留期延续的，还应提交延期批复。</w:t>
            </w:r>
          </w:p>
        </w:tc>
      </w:tr>
      <w:tr>
        <w:tblPrEx>
          <w:tblLayout w:type="fixed"/>
          <w:tblCellMar>
            <w:top w:w="0" w:type="dxa"/>
            <w:left w:w="108" w:type="dxa"/>
            <w:bottom w:w="0" w:type="dxa"/>
            <w:right w:w="108" w:type="dxa"/>
          </w:tblCellMar>
        </w:tblPrEx>
        <w:trPr>
          <w:trHeight w:val="1450"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9</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勘查许可证</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sz w:val="21"/>
                <w:szCs w:val="21"/>
                <w:u w:val="none"/>
                <w:lang w:val="en-US" w:eastAsia="zh-CN"/>
              </w:rPr>
            </w:pPr>
            <w:r>
              <w:rPr>
                <w:rFonts w:hint="eastAsia" w:ascii="Times New Roman" w:hAnsi="Times New Roman" w:eastAsia="仿宋_GB2312" w:cs="仿宋_GB2312"/>
                <w:sz w:val="21"/>
                <w:szCs w:val="21"/>
                <w:u w:val="none"/>
                <w:lang w:val="en-US" w:eastAsia="zh-CN"/>
              </w:rPr>
              <w:t>1.限于探矿权人提出申请的。</w:t>
            </w:r>
          </w:p>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sz w:val="21"/>
                <w:szCs w:val="21"/>
                <w:u w:val="none"/>
                <w:lang w:val="en-US" w:eastAsia="zh-CN"/>
              </w:rPr>
            </w:pPr>
            <w:r>
              <w:rPr>
                <w:rFonts w:hint="eastAsia" w:ascii="Times New Roman" w:hAnsi="Times New Roman" w:eastAsia="仿宋_GB2312" w:cs="仿宋_GB2312"/>
                <w:sz w:val="21"/>
                <w:szCs w:val="21"/>
                <w:u w:val="none"/>
                <w:lang w:val="en-US" w:eastAsia="zh-CN"/>
              </w:rPr>
              <w:t>2.限于涉及探转采的采矿权新立及扩大矿区范围。</w:t>
            </w:r>
          </w:p>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u w:val="none"/>
                <w:lang w:val="en-US" w:eastAsia="zh-CN"/>
              </w:rPr>
            </w:pPr>
            <w:r>
              <w:rPr>
                <w:rFonts w:hint="eastAsia" w:ascii="Times New Roman" w:hAnsi="Times New Roman" w:eastAsia="仿宋_GB2312" w:cs="仿宋_GB2312"/>
                <w:sz w:val="21"/>
                <w:szCs w:val="21"/>
                <w:u w:val="none"/>
                <w:lang w:val="en-US" w:eastAsia="zh-CN"/>
              </w:rPr>
              <w:t>3.申请时提供复印件或扫描件即可，不提供原件。</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10</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协议出让</w:t>
            </w:r>
            <w:r>
              <w:rPr>
                <w:rFonts w:hint="eastAsia" w:ascii="Times New Roman" w:hAnsi="Times New Roman" w:eastAsia="仿宋_GB2312" w:cs="仿宋_GB2312"/>
                <w:sz w:val="21"/>
                <w:szCs w:val="21"/>
                <w:u w:val="none"/>
                <w:lang w:eastAsia="zh-CN"/>
              </w:rPr>
              <w:t>有关</w:t>
            </w:r>
            <w:r>
              <w:rPr>
                <w:rFonts w:hint="eastAsia" w:ascii="Times New Roman" w:hAnsi="Times New Roman" w:eastAsia="仿宋_GB2312" w:cs="仿宋_GB2312"/>
                <w:sz w:val="21"/>
                <w:szCs w:val="21"/>
                <w:u w:val="none"/>
              </w:rPr>
              <w:t>材料</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lang w:val="en-US" w:eastAsia="zh-CN"/>
              </w:rPr>
              <w:t>1.</w:t>
            </w:r>
            <w:r>
              <w:rPr>
                <w:rFonts w:hint="eastAsia" w:ascii="Times New Roman" w:hAnsi="Times New Roman" w:eastAsia="仿宋_GB2312" w:cs="仿宋_GB2312"/>
                <w:sz w:val="21"/>
                <w:szCs w:val="21"/>
                <w:u w:val="none"/>
              </w:rPr>
              <w:t>仅适用于非油气</w:t>
            </w:r>
            <w:r>
              <w:rPr>
                <w:rFonts w:hint="eastAsia" w:ascii="Times New Roman" w:hAnsi="Times New Roman" w:eastAsia="仿宋_GB2312" w:cs="仿宋_GB2312"/>
                <w:sz w:val="21"/>
                <w:szCs w:val="21"/>
                <w:u w:val="none"/>
                <w:lang w:eastAsia="zh-CN"/>
              </w:rPr>
              <w:t>，</w:t>
            </w:r>
            <w:r>
              <w:rPr>
                <w:rFonts w:hint="eastAsia" w:ascii="Times New Roman" w:hAnsi="Times New Roman" w:eastAsia="仿宋_GB2312" w:cs="仿宋_GB2312"/>
                <w:sz w:val="21"/>
                <w:szCs w:val="21"/>
                <w:u w:val="none"/>
              </w:rPr>
              <w:t>限于以协议方式出让采矿权的。</w:t>
            </w:r>
          </w:p>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kern w:val="0"/>
                <w:sz w:val="21"/>
                <w:szCs w:val="21"/>
                <w:u w:val="none"/>
                <w:lang w:val="en-US" w:eastAsia="zh-CN" w:bidi="ar-SA"/>
              </w:rPr>
            </w:pPr>
            <w:r>
              <w:rPr>
                <w:rFonts w:hint="eastAsia" w:ascii="Times New Roman" w:hAnsi="Times New Roman" w:eastAsia="仿宋_GB2312" w:cs="仿宋_GB2312"/>
                <w:sz w:val="21"/>
                <w:szCs w:val="21"/>
                <w:u w:val="none"/>
                <w:lang w:val="en-US" w:eastAsia="zh-CN"/>
              </w:rPr>
              <w:t>2.</w:t>
            </w:r>
            <w:r>
              <w:rPr>
                <w:rFonts w:hint="eastAsia" w:ascii="Times New Roman" w:hAnsi="Times New Roman" w:eastAsia="仿宋_GB2312" w:cs="仿宋_GB2312"/>
                <w:sz w:val="21"/>
                <w:szCs w:val="21"/>
                <w:u w:val="none"/>
                <w:lang w:eastAsia="zh-CN"/>
              </w:rPr>
              <w:t>已完成协议出让的，提交协议出让合同。</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11</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lang w:val="en-US" w:eastAsia="zh-CN" w:bidi="ar-SA"/>
              </w:rPr>
            </w:pPr>
            <w:r>
              <w:rPr>
                <w:rFonts w:hint="eastAsia" w:ascii="Times New Roman" w:hAnsi="Times New Roman" w:eastAsia="仿宋_GB2312" w:cs="仿宋_GB2312"/>
                <w:sz w:val="21"/>
                <w:szCs w:val="21"/>
                <w:u w:val="none"/>
              </w:rPr>
              <w:t>以地质地形图为底图的矿区范围图</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lang w:val="en-US" w:eastAsia="zh-CN"/>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lang w:val="en-US" w:eastAsia="zh-CN"/>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仅适用于非油气</w:t>
            </w:r>
            <w:r>
              <w:rPr>
                <w:rFonts w:hint="eastAsia" w:ascii="Times New Roman" w:hAnsi="Times New Roman" w:eastAsia="仿宋_GB2312" w:cs="仿宋_GB2312"/>
                <w:sz w:val="21"/>
                <w:szCs w:val="21"/>
                <w:u w:val="none"/>
                <w:lang w:eastAsia="zh-CN"/>
              </w:rPr>
              <w:t>。</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12</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lang w:val="en-US" w:eastAsia="zh-CN" w:bidi="ar-SA"/>
              </w:rPr>
            </w:pPr>
            <w:r>
              <w:rPr>
                <w:rFonts w:hint="eastAsia" w:ascii="Times New Roman" w:hAnsi="Times New Roman" w:eastAsia="仿宋_GB2312" w:cs="仿宋_GB2312"/>
                <w:sz w:val="21"/>
                <w:szCs w:val="21"/>
                <w:u w:val="none"/>
              </w:rPr>
              <w:t>关闭矿山报告或完成报告、终止报告</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关闭矿山报告中应包含矿区范围图、矿山开采现状及实测图件、储量动用及剩余情况、矿山地质环境保护与土地复垦情况或者依法缴纳土地复垦费情况、采矿权使用费的缴纳情况及相关票据等内容。</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13</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lang w:val="en-US" w:eastAsia="zh-CN" w:bidi="ar-SA"/>
              </w:rPr>
            </w:pPr>
            <w:r>
              <w:rPr>
                <w:rFonts w:hint="eastAsia" w:ascii="Times New Roman" w:hAnsi="Times New Roman" w:eastAsia="仿宋_GB2312" w:cs="仿宋_GB2312"/>
                <w:sz w:val="21"/>
                <w:szCs w:val="21"/>
                <w:u w:val="none"/>
              </w:rPr>
              <w:t>变更采矿权人名称的证明文件</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工商部门出具的变更批准文件或工商变更事项查询单</w:t>
            </w:r>
            <w:r>
              <w:rPr>
                <w:rFonts w:hint="eastAsia" w:ascii="Times New Roman" w:hAnsi="Times New Roman" w:eastAsia="仿宋_GB2312" w:cs="仿宋_GB2312"/>
                <w:sz w:val="21"/>
                <w:szCs w:val="21"/>
                <w:u w:val="none"/>
                <w:lang w:eastAsia="zh-CN"/>
              </w:rPr>
              <w:t>，法院拍卖或裁定的协助执行通知书</w:t>
            </w:r>
            <w:r>
              <w:rPr>
                <w:rFonts w:hint="eastAsia" w:ascii="Times New Roman" w:hAnsi="Times New Roman" w:eastAsia="仿宋_GB2312" w:cs="仿宋_GB2312"/>
                <w:sz w:val="21"/>
                <w:szCs w:val="21"/>
                <w:u w:val="none"/>
              </w:rPr>
              <w:t>等资料。</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14</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矿山投产满1年的证明材料</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sz w:val="21"/>
                <w:szCs w:val="21"/>
                <w:u w:val="none"/>
              </w:rPr>
            </w:pP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15</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采矿权转让合同</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转让合同中应包含矿山地质环境保护与土地复垦等其他法定义务转移的相关内容。</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16</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lang w:val="en-US" w:eastAsia="zh-CN" w:bidi="ar-SA"/>
              </w:rPr>
            </w:pPr>
            <w:r>
              <w:rPr>
                <w:rFonts w:hint="eastAsia" w:ascii="Times New Roman" w:hAnsi="Times New Roman" w:eastAsia="仿宋_GB2312" w:cs="仿宋_GB2312"/>
                <w:sz w:val="21"/>
                <w:szCs w:val="21"/>
                <w:u w:val="none"/>
              </w:rPr>
              <w:t>主管部门或单位同意转让的意见</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仅限于</w:t>
            </w:r>
            <w:r>
              <w:rPr>
                <w:rFonts w:hint="eastAsia" w:ascii="Times New Roman" w:hAnsi="Times New Roman" w:eastAsia="仿宋_GB2312" w:cs="仿宋_GB2312"/>
                <w:sz w:val="21"/>
                <w:szCs w:val="21"/>
                <w:u w:val="none"/>
                <w:lang w:eastAsia="zh-CN"/>
              </w:rPr>
              <w:t>国有矿山</w:t>
            </w:r>
            <w:r>
              <w:rPr>
                <w:rFonts w:hint="eastAsia" w:ascii="Times New Roman" w:hAnsi="Times New Roman" w:eastAsia="仿宋_GB2312" w:cs="仿宋_GB2312"/>
                <w:sz w:val="21"/>
                <w:szCs w:val="21"/>
                <w:u w:val="none"/>
              </w:rPr>
              <w:t>企业转让变更申请。</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rPr>
              <w:t>17</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上一年度的年度财务报表审计报告或最近一期财务报表的审计报告</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bidi w:val="0"/>
              <w:spacing w:after="0" w:line="240" w:lineRule="auto"/>
              <w:jc w:val="left"/>
              <w:textAlignment w:val="auto"/>
              <w:rPr>
                <w:rFonts w:hint="eastAsia" w:ascii="Times New Roman" w:hAnsi="Times New Roman" w:eastAsia="仿宋_GB2312" w:cs="仿宋_GB2312"/>
                <w:kern w:val="0"/>
                <w:sz w:val="21"/>
                <w:szCs w:val="21"/>
                <w:u w:val="none"/>
                <w:lang w:val="en-US" w:eastAsia="zh-CN" w:bidi="ar-SA"/>
              </w:rPr>
            </w:pPr>
            <w:r>
              <w:rPr>
                <w:rFonts w:hint="eastAsia" w:ascii="Times New Roman" w:hAnsi="Times New Roman" w:eastAsia="仿宋_GB2312" w:cs="仿宋_GB2312"/>
                <w:kern w:val="0"/>
                <w:sz w:val="21"/>
                <w:szCs w:val="21"/>
                <w:u w:val="none"/>
              </w:rPr>
              <w:t>仅适用于油气转让申请</w:t>
            </w:r>
            <w:r>
              <w:rPr>
                <w:rFonts w:hint="eastAsia" w:ascii="Times New Roman" w:hAnsi="Times New Roman" w:eastAsia="仿宋_GB2312" w:cs="仿宋_GB2312"/>
                <w:kern w:val="0"/>
                <w:sz w:val="21"/>
                <w:szCs w:val="21"/>
                <w:u w:val="none"/>
                <w:lang w:eastAsia="zh-CN"/>
              </w:rPr>
              <w:t>，</w:t>
            </w:r>
            <w:r>
              <w:rPr>
                <w:rFonts w:hint="eastAsia" w:ascii="Times New Roman" w:hAnsi="Times New Roman" w:eastAsia="仿宋_GB2312" w:cs="仿宋_GB2312"/>
                <w:kern w:val="0"/>
                <w:sz w:val="21"/>
                <w:szCs w:val="21"/>
                <w:u w:val="none"/>
              </w:rPr>
              <w:t>由受让人提供。</w:t>
            </w:r>
          </w:p>
        </w:tc>
      </w:tr>
      <w:tr>
        <w:tblPrEx>
          <w:tblLayout w:type="fixed"/>
          <w:tblCellMar>
            <w:top w:w="0" w:type="dxa"/>
            <w:left w:w="108" w:type="dxa"/>
            <w:bottom w:w="0" w:type="dxa"/>
            <w:right w:w="108" w:type="dxa"/>
          </w:tblCellMar>
        </w:tblPrEx>
        <w:trPr>
          <w:trHeight w:val="84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kern w:val="0"/>
                <w:sz w:val="21"/>
                <w:szCs w:val="21"/>
                <w:u w:val="none"/>
              </w:rPr>
              <w:t>18</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对外合作合同副本等有关批准文件</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kern w:val="0"/>
                <w:sz w:val="21"/>
                <w:szCs w:val="21"/>
                <w:u w:val="none"/>
              </w:rPr>
              <w:t>仅适用于油气</w:t>
            </w:r>
            <w:r>
              <w:rPr>
                <w:rFonts w:hint="eastAsia" w:ascii="Times New Roman" w:hAnsi="Times New Roman" w:eastAsia="仿宋_GB2312" w:cs="仿宋_GB2312"/>
                <w:kern w:val="0"/>
                <w:sz w:val="21"/>
                <w:szCs w:val="21"/>
                <w:u w:val="none"/>
                <w:lang w:eastAsia="zh-CN"/>
              </w:rPr>
              <w:t>。</w:t>
            </w:r>
          </w:p>
        </w:tc>
      </w:tr>
      <w:tr>
        <w:tblPrEx>
          <w:tblLayout w:type="fixed"/>
          <w:tblCellMar>
            <w:top w:w="0" w:type="dxa"/>
            <w:left w:w="108" w:type="dxa"/>
            <w:bottom w:w="0" w:type="dxa"/>
            <w:right w:w="108" w:type="dxa"/>
          </w:tblCellMar>
        </w:tblPrEx>
        <w:trPr>
          <w:trHeight w:val="1004"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rPr>
              <w:t>19</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highlight w:val="none"/>
                <w:u w:val="none"/>
              </w:rPr>
              <w:t>矿业权出让收益（价款）</w:t>
            </w:r>
            <w:r>
              <w:rPr>
                <w:rFonts w:hint="eastAsia" w:ascii="Times New Roman" w:hAnsi="Times New Roman" w:eastAsia="仿宋_GB2312" w:cs="仿宋_GB2312"/>
                <w:sz w:val="21"/>
                <w:szCs w:val="21"/>
                <w:highlight w:val="none"/>
                <w:u w:val="none"/>
                <w:lang w:eastAsia="zh-CN"/>
              </w:rPr>
              <w:t>及使用费</w:t>
            </w:r>
            <w:r>
              <w:rPr>
                <w:rFonts w:hint="eastAsia" w:ascii="Times New Roman" w:hAnsi="Times New Roman" w:eastAsia="仿宋_GB2312" w:cs="仿宋_GB2312"/>
                <w:sz w:val="21"/>
                <w:szCs w:val="21"/>
                <w:highlight w:val="none"/>
                <w:u w:val="none"/>
              </w:rPr>
              <w:t>缴纳或有偿处置证明材料</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highlight w:val="none"/>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highlight w:val="none"/>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highlight w:val="none"/>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highlight w:val="none"/>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highlight w:val="none"/>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highlight w:val="none"/>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highlight w:val="none"/>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highlight w:val="none"/>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after="0" w:line="240" w:lineRule="auto"/>
              <w:jc w:val="left"/>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lang w:val="en-US" w:eastAsia="zh-CN"/>
              </w:rPr>
              <w:t>1.</w:t>
            </w:r>
            <w:r>
              <w:rPr>
                <w:rFonts w:hint="eastAsia" w:ascii="Times New Roman" w:hAnsi="Times New Roman" w:eastAsia="仿宋_GB2312" w:cs="仿宋_GB2312"/>
                <w:sz w:val="21"/>
                <w:szCs w:val="21"/>
                <w:u w:val="none"/>
              </w:rPr>
              <w:t>提供</w:t>
            </w:r>
            <w:r>
              <w:rPr>
                <w:rFonts w:hint="eastAsia" w:ascii="Times New Roman" w:hAnsi="Times New Roman" w:eastAsia="仿宋_GB2312" w:cs="仿宋_GB2312"/>
                <w:sz w:val="21"/>
                <w:szCs w:val="21"/>
                <w:u w:val="none"/>
                <w:lang w:eastAsia="zh-CN"/>
              </w:rPr>
              <w:t>包含</w:t>
            </w:r>
            <w:r>
              <w:rPr>
                <w:rFonts w:hint="eastAsia" w:ascii="Times New Roman" w:hAnsi="Times New Roman" w:eastAsia="仿宋_GB2312" w:cs="仿宋_GB2312"/>
                <w:sz w:val="21"/>
                <w:szCs w:val="21"/>
                <w:u w:val="none"/>
              </w:rPr>
              <w:t>应缴矿业权出让收益（价款）金额、缴纳方式</w:t>
            </w:r>
            <w:r>
              <w:rPr>
                <w:rFonts w:hint="eastAsia" w:ascii="Times New Roman" w:hAnsi="Times New Roman" w:eastAsia="仿宋_GB2312" w:cs="仿宋_GB2312"/>
                <w:sz w:val="21"/>
                <w:szCs w:val="21"/>
                <w:u w:val="none"/>
                <w:lang w:eastAsia="zh-CN"/>
              </w:rPr>
              <w:t>的相关材料（</w:t>
            </w:r>
            <w:r>
              <w:rPr>
                <w:rFonts w:hint="eastAsia" w:ascii="Times New Roman" w:hAnsi="Times New Roman" w:eastAsia="仿宋_GB2312" w:cs="仿宋_GB2312"/>
                <w:sz w:val="21"/>
                <w:szCs w:val="21"/>
                <w:u w:val="none"/>
              </w:rPr>
              <w:t>缴款通知书、分期缴款批复</w:t>
            </w:r>
            <w:r>
              <w:rPr>
                <w:rFonts w:hint="eastAsia" w:ascii="Times New Roman" w:hAnsi="Times New Roman" w:eastAsia="仿宋_GB2312" w:cs="仿宋_GB2312"/>
                <w:sz w:val="21"/>
                <w:szCs w:val="21"/>
                <w:u w:val="none"/>
                <w:lang w:eastAsia="zh-CN"/>
              </w:rPr>
              <w:t>、</w:t>
            </w:r>
            <w:r>
              <w:rPr>
                <w:rFonts w:hint="eastAsia" w:ascii="Times New Roman" w:hAnsi="Times New Roman" w:eastAsia="仿宋_GB2312" w:cs="仿宋_GB2312"/>
                <w:sz w:val="21"/>
                <w:szCs w:val="21"/>
                <w:u w:val="none"/>
              </w:rPr>
              <w:t>矿业权成交确认书、矿业权出让合同</w:t>
            </w:r>
            <w:r>
              <w:rPr>
                <w:rFonts w:hint="eastAsia" w:ascii="Times New Roman" w:hAnsi="Times New Roman" w:eastAsia="仿宋_GB2312" w:cs="仿宋_GB2312"/>
                <w:sz w:val="21"/>
                <w:szCs w:val="21"/>
                <w:u w:val="none"/>
                <w:lang w:eastAsia="zh-CN"/>
              </w:rPr>
              <w:t>、矿业权</w:t>
            </w:r>
            <w:r>
              <w:rPr>
                <w:rFonts w:hint="eastAsia" w:ascii="Times New Roman" w:hAnsi="Times New Roman" w:eastAsia="仿宋_GB2312" w:cs="仿宋_GB2312"/>
                <w:sz w:val="21"/>
                <w:szCs w:val="21"/>
                <w:u w:val="none"/>
              </w:rPr>
              <w:t>出让收益</w:t>
            </w:r>
            <w:r>
              <w:rPr>
                <w:rFonts w:hint="eastAsia" w:ascii="Times New Roman" w:hAnsi="Times New Roman" w:eastAsia="仿宋_GB2312" w:cs="仿宋_GB2312"/>
                <w:sz w:val="21"/>
                <w:szCs w:val="21"/>
                <w:u w:val="none"/>
                <w:lang w:eastAsia="zh-CN"/>
              </w:rPr>
              <w:t>（价款）</w:t>
            </w:r>
            <w:r>
              <w:rPr>
                <w:rFonts w:hint="eastAsia" w:ascii="Times New Roman" w:hAnsi="Times New Roman" w:eastAsia="仿宋_GB2312" w:cs="仿宋_GB2312"/>
                <w:sz w:val="21"/>
                <w:szCs w:val="21"/>
                <w:u w:val="none"/>
              </w:rPr>
              <w:t>评估报告备案证明、评估结果登记备案表、评估结果确认书等材料</w:t>
            </w:r>
            <w:r>
              <w:rPr>
                <w:rFonts w:hint="eastAsia" w:ascii="Times New Roman" w:hAnsi="Times New Roman" w:eastAsia="仿宋_GB2312" w:cs="仿宋_GB2312"/>
                <w:sz w:val="21"/>
                <w:szCs w:val="21"/>
                <w:u w:val="none"/>
                <w:lang w:eastAsia="zh-CN"/>
              </w:rPr>
              <w:t>）</w:t>
            </w:r>
            <w:r>
              <w:rPr>
                <w:rFonts w:hint="eastAsia" w:ascii="Times New Roman" w:hAnsi="Times New Roman" w:eastAsia="仿宋_GB2312" w:cs="仿宋_GB2312"/>
                <w:sz w:val="21"/>
                <w:szCs w:val="21"/>
                <w:u w:val="none"/>
              </w:rPr>
              <w:t>以及</w:t>
            </w:r>
            <w:r>
              <w:rPr>
                <w:rFonts w:hint="eastAsia" w:ascii="Times New Roman" w:hAnsi="Times New Roman" w:eastAsia="仿宋_GB2312" w:cs="仿宋_GB2312"/>
                <w:sz w:val="21"/>
                <w:szCs w:val="21"/>
                <w:u w:val="none"/>
                <w:lang w:eastAsia="zh-CN"/>
              </w:rPr>
              <w:t>对应已</w:t>
            </w:r>
            <w:r>
              <w:rPr>
                <w:rFonts w:hint="eastAsia" w:ascii="Times New Roman" w:hAnsi="Times New Roman" w:eastAsia="仿宋_GB2312" w:cs="仿宋_GB2312"/>
                <w:sz w:val="21"/>
                <w:szCs w:val="21"/>
                <w:u w:val="none"/>
              </w:rPr>
              <w:t>缴纳</w:t>
            </w:r>
            <w:r>
              <w:rPr>
                <w:rFonts w:hint="eastAsia" w:ascii="Times New Roman" w:hAnsi="Times New Roman" w:eastAsia="仿宋_GB2312" w:cs="仿宋_GB2312"/>
                <w:sz w:val="21"/>
                <w:szCs w:val="21"/>
                <w:u w:val="none"/>
                <w:lang w:eastAsia="zh-CN"/>
              </w:rPr>
              <w:t>的</w:t>
            </w:r>
            <w:r>
              <w:rPr>
                <w:rFonts w:hint="eastAsia" w:ascii="Times New Roman" w:hAnsi="Times New Roman" w:eastAsia="仿宋_GB2312" w:cs="仿宋_GB2312"/>
                <w:sz w:val="21"/>
                <w:szCs w:val="21"/>
                <w:u w:val="none"/>
              </w:rPr>
              <w:t>票据和相关凭证等材料。如没有相应材料，应由征收机关出具书面意见，说明矿业权出让收益（价款）缴纳的具体情况；对已批准将矿业权出让收益（价款）转增为国家基金或国家资本金的，应提供批复文件。</w:t>
            </w:r>
          </w:p>
          <w:p>
            <w:pPr>
              <w:pStyle w:val="2"/>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240" w:lineRule="auto"/>
              <w:ind w:left="0" w:leftChars="0" w:firstLine="0" w:firstLineChars="0"/>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b w:val="0"/>
                <w:kern w:val="2"/>
                <w:sz w:val="21"/>
                <w:szCs w:val="21"/>
                <w:u w:val="none"/>
                <w:lang w:val="en-US" w:eastAsia="zh-CN" w:bidi="ar-SA"/>
              </w:rPr>
              <w:t>2.提供最近一次缴纳采矿权使用费的证明材料，新立采矿权不需提交。</w:t>
            </w:r>
          </w:p>
        </w:tc>
      </w:tr>
      <w:tr>
        <w:tblPrEx>
          <w:tblLayout w:type="fixed"/>
          <w:tblCellMar>
            <w:top w:w="0" w:type="dxa"/>
            <w:left w:w="108" w:type="dxa"/>
            <w:bottom w:w="0" w:type="dxa"/>
            <w:right w:w="108" w:type="dxa"/>
          </w:tblCellMar>
        </w:tblPrEx>
        <w:trPr>
          <w:trHeight w:val="648"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sz w:val="21"/>
                <w:szCs w:val="21"/>
                <w:u w:val="none"/>
              </w:rPr>
            </w:pPr>
            <w:r>
              <w:rPr>
                <w:rFonts w:hint="eastAsia" w:ascii="Times New Roman" w:hAnsi="Times New Roman" w:eastAsia="仿宋_GB2312" w:cs="仿宋_GB2312"/>
                <w:sz w:val="21"/>
                <w:szCs w:val="21"/>
                <w:u w:val="none"/>
                <w:lang w:val="en-US" w:eastAsia="zh-CN"/>
              </w:rPr>
              <w:t>20</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申请人的企业营业执照副本</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color w:val="000000"/>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0"/>
                <w:sz w:val="21"/>
                <w:szCs w:val="21"/>
                <w:u w:val="none"/>
              </w:rPr>
            </w:pPr>
            <w:r>
              <w:rPr>
                <w:rFonts w:hint="eastAsia" w:ascii="Times New Roman" w:hAnsi="Times New Roman" w:eastAsia="仿宋_GB2312" w:cs="仿宋_GB2312"/>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left"/>
              <w:textAlignment w:val="center"/>
              <w:rPr>
                <w:rFonts w:hint="eastAsia" w:ascii="Times New Roman" w:hAnsi="Times New Roman" w:eastAsia="仿宋_GB2312" w:cs="仿宋_GB2312"/>
                <w:kern w:val="0"/>
                <w:sz w:val="21"/>
                <w:szCs w:val="21"/>
                <w:u w:val="none"/>
              </w:rPr>
            </w:pPr>
          </w:p>
        </w:tc>
      </w:tr>
      <w:tr>
        <w:tblPrEx>
          <w:tblLayout w:type="fixed"/>
          <w:tblCellMar>
            <w:top w:w="0" w:type="dxa"/>
            <w:left w:w="108" w:type="dxa"/>
            <w:bottom w:w="0" w:type="dxa"/>
            <w:right w:w="108" w:type="dxa"/>
          </w:tblCellMar>
        </w:tblPrEx>
        <w:trPr>
          <w:trHeight w:val="729" w:hRule="atLeast"/>
          <w:jc w:val="center"/>
        </w:trPr>
        <w:tc>
          <w:tcPr>
            <w:tcW w:w="56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autoSpaceDN w:val="0"/>
              <w:bidi w:val="0"/>
              <w:spacing w:after="0" w:line="240" w:lineRule="auto"/>
              <w:jc w:val="center"/>
              <w:textAlignment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sz w:val="21"/>
                <w:szCs w:val="21"/>
                <w:u w:val="none"/>
                <w:lang w:val="en-US" w:eastAsia="zh-CN"/>
              </w:rPr>
              <w:t>21</w:t>
            </w:r>
          </w:p>
        </w:tc>
        <w:tc>
          <w:tcPr>
            <w:tcW w:w="1757"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lang w:eastAsia="zh-CN"/>
              </w:rPr>
              <w:t>市县</w:t>
            </w:r>
            <w:r>
              <w:rPr>
                <w:rFonts w:hint="eastAsia" w:ascii="Times New Roman" w:hAnsi="Times New Roman" w:eastAsia="仿宋_GB2312" w:cs="仿宋_GB2312"/>
                <w:kern w:val="0"/>
                <w:sz w:val="21"/>
                <w:szCs w:val="21"/>
                <w:u w:val="none"/>
              </w:rPr>
              <w:t>级</w:t>
            </w:r>
            <w:r>
              <w:rPr>
                <w:rFonts w:hint="eastAsia" w:ascii="Times New Roman" w:hAnsi="Times New Roman" w:eastAsia="仿宋_GB2312" w:cs="仿宋_GB2312"/>
                <w:kern w:val="0"/>
                <w:sz w:val="21"/>
                <w:szCs w:val="21"/>
                <w:u w:val="none"/>
                <w:lang w:eastAsia="zh-CN"/>
              </w:rPr>
              <w:t>自然</w:t>
            </w:r>
            <w:r>
              <w:rPr>
                <w:rFonts w:hint="eastAsia" w:ascii="Times New Roman" w:hAnsi="Times New Roman" w:eastAsia="仿宋_GB2312" w:cs="仿宋_GB2312"/>
                <w:kern w:val="0"/>
                <w:sz w:val="21"/>
                <w:szCs w:val="21"/>
                <w:u w:val="none"/>
              </w:rPr>
              <w:t>资源主管部门意见</w:t>
            </w:r>
          </w:p>
        </w:tc>
        <w:tc>
          <w:tcPr>
            <w:tcW w:w="47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dstrike w:val="0"/>
                <w:kern w:val="0"/>
                <w:sz w:val="21"/>
                <w:szCs w:val="21"/>
                <w:u w:val="none"/>
              </w:rPr>
              <w:t>▲</w:t>
            </w:r>
          </w:p>
        </w:tc>
        <w:tc>
          <w:tcPr>
            <w:tcW w:w="444"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49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743"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1050"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73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lang w:val="en-US" w:eastAsia="zh-CN"/>
              </w:rPr>
              <w:t>-</w:t>
            </w:r>
          </w:p>
        </w:tc>
        <w:tc>
          <w:tcPr>
            <w:tcW w:w="525"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jc w:val="center"/>
              <w:rPr>
                <w:rFonts w:hint="eastAsia" w:ascii="Times New Roman" w:hAnsi="Times New Roman" w:eastAsia="仿宋_GB2312" w:cs="仿宋_GB2312"/>
                <w:kern w:val="2"/>
                <w:sz w:val="21"/>
                <w:szCs w:val="21"/>
                <w:u w:val="none"/>
                <w:lang w:val="en-US" w:eastAsia="zh-CN" w:bidi="ar-SA"/>
              </w:rPr>
            </w:pPr>
            <w:r>
              <w:rPr>
                <w:rFonts w:hint="eastAsia" w:ascii="Times New Roman" w:hAnsi="Times New Roman" w:eastAsia="仿宋_GB2312" w:cs="仿宋_GB2312"/>
                <w:kern w:val="0"/>
                <w:sz w:val="21"/>
                <w:szCs w:val="21"/>
                <w:u w:val="none"/>
              </w:rPr>
              <w:t>▲</w:t>
            </w:r>
          </w:p>
        </w:tc>
        <w:tc>
          <w:tcPr>
            <w:tcW w:w="6181" w:type="dxa"/>
            <w:tcBorders>
              <w:top w:val="single" w:color="000000" w:sz="2" w:space="0"/>
              <w:left w:val="single" w:color="000000" w:sz="2" w:space="0"/>
              <w:bottom w:val="single" w:color="000000" w:sz="2" w:space="0"/>
              <w:right w:val="single" w:color="000000" w:sz="2" w:space="0"/>
            </w:tcBorders>
            <w:noWrap w:val="0"/>
            <w:vAlign w:val="center"/>
          </w:tcPr>
          <w:p>
            <w:pPr>
              <w:keepNext w:val="0"/>
              <w:keepLines w:val="0"/>
              <w:pageBreakBefore w:val="0"/>
              <w:widowControl w:val="0"/>
              <w:kinsoku/>
              <w:wordWrap/>
              <w:overflowPunct/>
              <w:topLinePunct w:val="0"/>
              <w:autoSpaceDE/>
              <w:bidi w:val="0"/>
              <w:snapToGrid w:val="0"/>
              <w:spacing w:after="0" w:line="240" w:lineRule="auto"/>
              <w:jc w:val="left"/>
              <w:rPr>
                <w:rFonts w:hint="eastAsia" w:ascii="Times New Roman" w:hAnsi="Times New Roman" w:eastAsia="仿宋_GB2312" w:cs="仿宋_GB2312"/>
                <w:kern w:val="2"/>
                <w:sz w:val="21"/>
                <w:szCs w:val="21"/>
                <w:u w:val="none"/>
                <w:lang w:val="en-US" w:eastAsia="zh-CN" w:bidi="ar-SA"/>
              </w:rPr>
            </w:pPr>
          </w:p>
        </w:tc>
      </w:tr>
    </w:tbl>
    <w:p>
      <w:pPr>
        <w:keepNext w:val="0"/>
        <w:keepLines w:val="0"/>
        <w:pageBreakBefore w:val="0"/>
        <w:widowControl w:val="0"/>
        <w:tabs>
          <w:tab w:val="right" w:pos="8307"/>
        </w:tabs>
        <w:kinsoku/>
        <w:wordWrap/>
        <w:overflowPunct/>
        <w:topLinePunct w:val="0"/>
        <w:autoSpaceDE/>
        <w:autoSpaceDN/>
        <w:bidi w:val="0"/>
        <w:adjustRightInd w:val="0"/>
        <w:snapToGrid w:val="0"/>
        <w:spacing w:after="0" w:line="400" w:lineRule="exact"/>
        <w:ind w:left="-420" w:leftChars="-200" w:firstLine="480" w:firstLineChars="229"/>
        <w:jc w:val="left"/>
        <w:textAlignment w:val="auto"/>
        <w:rPr>
          <w:rFonts w:hint="default" w:ascii="Times New Roman" w:hAnsi="Times New Roman" w:eastAsia="仿宋_GB2312" w:cs="Times New Roman"/>
          <w:szCs w:val="36"/>
          <w:u w:val="none"/>
        </w:rPr>
      </w:pPr>
      <w:r>
        <w:rPr>
          <w:rFonts w:hint="default" w:ascii="Times New Roman" w:hAnsi="Times New Roman" w:eastAsia="仿宋_GB2312"/>
          <w:szCs w:val="36"/>
          <w:u w:val="none"/>
        </w:rPr>
        <w:t>注：</w:t>
      </w:r>
      <w:r>
        <w:rPr>
          <w:rFonts w:hint="default" w:ascii="Times New Roman" w:hAnsi="Times New Roman" w:eastAsia="仿宋_GB2312" w:cs="Times New Roman"/>
          <w:szCs w:val="36"/>
          <w:u w:val="none"/>
          <w:lang w:val="en-US" w:eastAsia="zh-CN"/>
        </w:rPr>
        <w:t>1.</w:t>
      </w:r>
      <w:r>
        <w:rPr>
          <w:rFonts w:hint="default" w:ascii="Times New Roman" w:hAnsi="Times New Roman" w:eastAsia="仿宋_GB2312" w:cs="Times New Roman"/>
          <w:szCs w:val="36"/>
          <w:u w:val="none"/>
        </w:rPr>
        <w:t>表中标“</w:t>
      </w:r>
      <w:r>
        <w:rPr>
          <w:rFonts w:hint="default" w:ascii="Times New Roman" w:hAnsi="Times New Roman" w:eastAsia="仿宋_GB2312" w:cs="Times New Roman"/>
          <w:kern w:val="0"/>
          <w:szCs w:val="36"/>
          <w:u w:val="none"/>
        </w:rPr>
        <w:t>▲</w:t>
      </w:r>
      <w:r>
        <w:rPr>
          <w:rFonts w:hint="default" w:ascii="Times New Roman" w:hAnsi="Times New Roman" w:eastAsia="仿宋_GB2312" w:cs="Times New Roman"/>
          <w:szCs w:val="36"/>
          <w:u w:val="none"/>
        </w:rPr>
        <w:t>”为必须提交的资料（“要求”栏中有特殊规定的，从其规定），标“</w:t>
      </w:r>
      <w:r>
        <w:rPr>
          <w:rFonts w:hint="default" w:ascii="Times New Roman" w:hAnsi="Times New Roman" w:cs="Times New Roman"/>
          <w:kern w:val="0"/>
          <w:szCs w:val="36"/>
          <w:u w:val="none"/>
        </w:rPr>
        <w:t>—</w:t>
      </w:r>
      <w:r>
        <w:rPr>
          <w:rFonts w:hint="default" w:ascii="Times New Roman" w:hAnsi="Times New Roman" w:eastAsia="仿宋_GB2312" w:cs="Times New Roman"/>
          <w:szCs w:val="36"/>
          <w:u w:val="none"/>
        </w:rPr>
        <w:t>”为</w:t>
      </w:r>
      <w:r>
        <w:rPr>
          <w:rFonts w:hint="default" w:ascii="Times New Roman" w:hAnsi="Times New Roman" w:eastAsia="仿宋_GB2312" w:cs="Times New Roman"/>
          <w:szCs w:val="36"/>
          <w:u w:val="none"/>
          <w:lang w:eastAsia="zh-CN"/>
        </w:rPr>
        <w:t>无须</w:t>
      </w:r>
      <w:r>
        <w:rPr>
          <w:rFonts w:hint="default" w:ascii="Times New Roman" w:hAnsi="Times New Roman" w:eastAsia="仿宋_GB2312" w:cs="Times New Roman"/>
          <w:szCs w:val="36"/>
          <w:u w:val="none"/>
        </w:rPr>
        <w:t>提交的资料。</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420" w:leftChars="200" w:right="0" w:rightChars="0" w:firstLine="39" w:firstLineChars="19"/>
        <w:jc w:val="left"/>
        <w:textAlignment w:val="auto"/>
        <w:rPr>
          <w:rFonts w:hint="default" w:ascii="Times New Roman" w:hAnsi="Times New Roman" w:eastAsia="仿宋_GB2312" w:cs="Times New Roman"/>
          <w:kern w:val="0"/>
          <w:szCs w:val="36"/>
          <w:u w:val="none"/>
        </w:rPr>
      </w:pPr>
      <w:r>
        <w:rPr>
          <w:rFonts w:hint="default" w:ascii="Times New Roman" w:hAnsi="Times New Roman" w:eastAsia="仿宋_GB2312" w:cs="Times New Roman"/>
          <w:kern w:val="0"/>
          <w:szCs w:val="36"/>
          <w:u w:val="none"/>
          <w:lang w:val="en-US" w:eastAsia="zh-CN"/>
        </w:rPr>
        <w:t>2.</w:t>
      </w:r>
      <w:r>
        <w:rPr>
          <w:rFonts w:hint="default" w:ascii="Times New Roman" w:hAnsi="Times New Roman" w:eastAsia="仿宋_GB2312" w:cs="Times New Roman"/>
          <w:kern w:val="0"/>
          <w:szCs w:val="36"/>
          <w:u w:val="none"/>
        </w:rPr>
        <w:t>凡涉及申请人盖章，必须与矿业权人名称一致。</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400" w:lineRule="exact"/>
        <w:ind w:left="420" w:leftChars="200" w:right="0" w:rightChars="0" w:firstLine="39" w:firstLineChars="19"/>
        <w:jc w:val="left"/>
        <w:textAlignment w:val="auto"/>
        <w:rPr>
          <w:rFonts w:hint="default" w:ascii="Times New Roman" w:hAnsi="Times New Roman" w:cs="Times New Roman"/>
          <w:lang w:val="en-US" w:eastAsia="zh-CN"/>
        </w:rPr>
      </w:pPr>
      <w:r>
        <w:rPr>
          <w:rFonts w:hint="default" w:ascii="Times New Roman" w:hAnsi="Times New Roman" w:eastAsia="仿宋_GB2312" w:cs="Times New Roman"/>
          <w:kern w:val="0"/>
          <w:szCs w:val="36"/>
          <w:u w:val="none"/>
          <w:lang w:val="en-US" w:eastAsia="zh-CN"/>
        </w:rPr>
        <w:t>3.以出让方式取得的矿业权办理登记时，出让合同有约定的，从其约定。</w:t>
      </w:r>
    </w:p>
    <w:p>
      <w:pPr>
        <w:rPr>
          <w:rFonts w:hint="default"/>
          <w:lang w:val="en-US" w:eastAsia="zh-CN"/>
        </w:rPr>
      </w:pPr>
    </w:p>
    <w:p/>
    <w:sectPr>
      <w:pgSz w:w="16838" w:h="11906" w:orient="landscape"/>
      <w:pgMar w:top="1871" w:right="1474" w:bottom="1701" w:left="1587" w:header="851" w:footer="992" w:gutter="0"/>
      <w:pgNumType w:fmt="decimal"/>
      <w:cols w:space="72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panose1 w:val="02000000000000000000"/>
    <w:charset w:val="86"/>
    <w:family w:val="script"/>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C6062"/>
    <w:rsid w:val="02FC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beforeLines="0" w:after="260" w:afterLines="0" w:line="413" w:lineRule="auto"/>
      <w:outlineLvl w:val="1"/>
    </w:pPr>
    <w:rPr>
      <w:rFonts w:ascii="Cambria"/>
      <w:b/>
      <w:sz w:val="32"/>
      <w:szCs w:val="20"/>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3">
    <w:name w:val="正文缩进1"/>
    <w:basedOn w:val="1"/>
    <w:qFormat/>
    <w:uiPriority w:val="0"/>
    <w:pPr>
      <w:ind w:firstLine="420"/>
    </w:pPr>
  </w:style>
  <w:style w:type="paragraph" w:customStyle="1" w:styleId="6">
    <w:name w:val="正文2"/>
    <w:basedOn w:val="1"/>
    <w:next w:val="1"/>
    <w:qFormat/>
    <w:uiPriority w:val="0"/>
    <w:rPr>
      <w:rFonts w:ascii="仿宋_GB2312" w:hAnsi="Calibri"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2023-12-15T00:58:00Z</dcterms:created>
  <dc:creator>Administrator</dc:creator>
  <cp:lastModifiedBy>Administrator</cp:lastModifiedBy>
  <dcterms:modified xsi:type="dcterms:W3CDTF">2023-12-15T00:59:04Z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