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71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ab/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四川省自然资源第一批智库联盟单位名单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省国土科研院（省卫星中心）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省空间规划院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省不动产登记中心（省地籍中心）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省国土整治中心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省修复防治院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厅信息中心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省储量评审中心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四川省第一地质大队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四川省第二地质大队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四川省第三地质大队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四川省第八地质大队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四川省综合地质调查研究所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四川省地质环境调查研究中心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四川省地质调查研究院测绘地理信息中心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四川省地质调查研究院调查规划研究中心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四川省天府矿业投资有限责任公司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四川省冶金地质勘查院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四川省土地发展集团有限责任公司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200"/>
        <w:textAlignment w:val="auto"/>
        <w:rPr>
          <w:rFonts w:hint="default" w:ascii="Times New Roman" w:hAnsi="Times New Roman" w:eastAsia="黑体" w:cs="Times New Roman"/>
          <w:sz w:val="28"/>
          <w:szCs w:val="28"/>
          <w:u w:val="none" w:color="auto"/>
        </w:rPr>
      </w:pPr>
      <w:r>
        <w:rPr>
          <w:rStyle w:val="7"/>
          <w:rFonts w:hint="eastAsia" w:ascii="仿宋_GB2312" w:hAnsi="仿宋_GB2312" w:eastAsia="仿宋_GB2312" w:cs="仿宋_GB2312"/>
          <w:b w:val="0"/>
          <w:bCs/>
          <w:sz w:val="32"/>
          <w:szCs w:val="32"/>
        </w:rPr>
        <w:t>四川省冶勘设计集团有限公司</w:t>
      </w:r>
    </w:p>
    <w:p>
      <w:bookmarkStart w:id="0" w:name="_GoBack"/>
      <w:bookmarkEnd w:id="0"/>
    </w:p>
    <w:sectPr>
      <w:footerReference r:id="rId3" w:type="default"/>
      <w:pgSz w:w="11907" w:h="16840"/>
      <w:pgMar w:top="1871" w:right="1474" w:bottom="1701" w:left="1588" w:header="1134" w:footer="1361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framePr w:wrap="around" w:vAnchor="text" w:hAnchor="margin" w:xAlign="outside" w:y="1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NjJiOTgwOWYxZGQ3MjY0ZmRmMzdjODkzNjBhMWQifQ=="/>
  </w:docVars>
  <w:rsids>
    <w:rsidRoot w:val="00000000"/>
    <w:rsid w:val="789A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uiPriority w:val="0"/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2024-03-06T08:45:32Z</dcterms:created>
  <dc:creator>Administrator</dc:creator>
  <cp:lastModifiedBy>Administrator</cp:lastModifiedBy>
  <dcterms:modified xsi:type="dcterms:W3CDTF">2024-03-06T08:45:34Z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9F9E167BD82547558D2FBC46BE7BF643_12</vt:lpwstr>
  </property>
</Properties>
</file>