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6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 w:bidi="ar"/>
        </w:rPr>
        <w:t>四川省锐勘地质工程有限公司等2家单位4个地质灾害防治单位资质审查不予通过名单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4"/>
        <w:tblW w:w="50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758"/>
        <w:gridCol w:w="2472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1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四川省锐勘地质工程有限公司</w:t>
            </w:r>
          </w:p>
        </w:tc>
        <w:tc>
          <w:tcPr>
            <w:tcW w:w="14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中石化西南石油地质勘察工程有限公司</w:t>
            </w:r>
          </w:p>
        </w:tc>
        <w:tc>
          <w:tcPr>
            <w:tcW w:w="14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9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F872B"/>
    <w:multiLevelType w:val="singleLevel"/>
    <w:tmpl w:val="A5FF872B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5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2025-11-21T08:37:26Z</dcterms:created>
  <dc:creator>Administrator</dc:creator>
  <cp:lastModifiedBy>Administrator</cp:lastModifiedBy>
  <dcterms:modified xsi:type="dcterms:W3CDTF">2025-11-21T08:37:30Z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4416DADE8DEE47DA82E6CB02313E8661</vt:lpwstr>
  </property>
</Properties>
</file>