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21C1D">
      <w:pPr>
        <w:overflowPunct w:val="0"/>
        <w:topLinePunct/>
        <w:spacing w:line="600" w:lineRule="exact"/>
        <w:jc w:val="left"/>
        <w:rPr>
          <w:rFonts w:ascii="Times New Roman" w:hAnsi="Times New Roman" w:eastAsia="黑体"/>
          <w:sz w:val="32"/>
          <w:szCs w:val="32"/>
        </w:rPr>
      </w:pPr>
      <w:r>
        <w:rPr>
          <w:rFonts w:ascii="Times New Roman" w:hAnsi="Times New Roman" w:eastAsia="黑体"/>
          <w:sz w:val="32"/>
          <w:szCs w:val="32"/>
        </w:rPr>
        <w:t>附件</w:t>
      </w:r>
    </w:p>
    <w:p w14:paraId="739D0C93">
      <w:pPr>
        <w:pStyle w:val="2"/>
      </w:pPr>
    </w:p>
    <w:p w14:paraId="3F94AA68">
      <w:pPr>
        <w:overflowPunct w:val="0"/>
        <w:topLinePunct/>
        <w:spacing w:line="600" w:lineRule="exact"/>
        <w:jc w:val="center"/>
        <w:rPr>
          <w:rFonts w:ascii="Times New Roman" w:hAnsi="Times New Roman" w:eastAsia="方正小标宋简体"/>
          <w:sz w:val="44"/>
          <w:szCs w:val="44"/>
        </w:rPr>
      </w:pPr>
      <w:r>
        <w:rPr>
          <w:rFonts w:hint="default" w:ascii="Times New Roman" w:hAnsi="Times New Roman" w:eastAsia="方正小标宋简体"/>
          <w:sz w:val="44"/>
          <w:szCs w:val="44"/>
          <w:lang w:val="en-US" w:eastAsia="zh-CN"/>
        </w:rPr>
        <w:t>2023年国家移交长江生态环境问题</w:t>
      </w:r>
      <w:r>
        <w:rPr>
          <w:rFonts w:hint="eastAsia" w:ascii="Times New Roman" w:hAnsi="Times New Roman" w:eastAsia="方正小标宋简体"/>
          <w:sz w:val="44"/>
          <w:szCs w:val="44"/>
          <w:lang w:val="en-US" w:eastAsia="zh-CN"/>
        </w:rPr>
        <w:t>第三项</w:t>
      </w:r>
    </w:p>
    <w:p w14:paraId="449C4349">
      <w:pPr>
        <w:overflowPunct w:val="0"/>
        <w:topLinePunct/>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整改任务完成情况表</w:t>
      </w:r>
    </w:p>
    <w:p w14:paraId="34F69588">
      <w:pPr>
        <w:pStyle w:val="2"/>
      </w:pPr>
    </w:p>
    <w:tbl>
      <w:tblPr>
        <w:tblStyle w:val="4"/>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2122"/>
        <w:gridCol w:w="6712"/>
      </w:tblGrid>
      <w:tr w14:paraId="21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6"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4005EA6B">
            <w:pPr>
              <w:overflowPunct w:val="0"/>
              <w:topLinePunct/>
              <w:spacing w:line="50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整改任务</w:t>
            </w:r>
          </w:p>
        </w:tc>
        <w:tc>
          <w:tcPr>
            <w:tcW w:w="6712" w:type="dxa"/>
            <w:tcBorders>
              <w:top w:val="single" w:color="auto" w:sz="4" w:space="0"/>
              <w:left w:val="nil"/>
              <w:bottom w:val="single" w:color="auto" w:sz="4" w:space="0"/>
              <w:right w:val="single" w:color="auto" w:sz="4" w:space="0"/>
            </w:tcBorders>
            <w:vAlign w:val="center"/>
          </w:tcPr>
          <w:p w14:paraId="6BD19493">
            <w:pPr>
              <w:overflowPunct w:val="0"/>
              <w:topLinePunct/>
              <w:spacing w:line="400" w:lineRule="exact"/>
              <w:ind w:firstLine="560" w:firstLineChars="200"/>
              <w:rPr>
                <w:rFonts w:ascii="Times New Roman" w:hAnsi="Times New Roman" w:eastAsia="楷体_GB2312" w:cs="Times New Roman"/>
                <w:kern w:val="0"/>
                <w:sz w:val="28"/>
                <w:szCs w:val="28"/>
              </w:rPr>
            </w:pPr>
            <w:r>
              <w:rPr>
                <w:rFonts w:hint="eastAsia" w:ascii="Times New Roman" w:hAnsi="Times New Roman" w:eastAsia="方正仿宋_GBK" w:cs="Times New Roman"/>
                <w:sz w:val="28"/>
                <w:szCs w:val="24"/>
              </w:rPr>
              <w:t>宝兴县素有熊猫老家美誉，是大熊猫国家公园建设重点县。2023年5月现场调查发现，紧贴大熊猫国家公园宝兴片区边界的采矿企业野蛮粗放开采，对国家公园周边生态环境造成严重影响。其中，锅巴岩矿区、望香台矿区的正兴、东宝、汉龙、祥海等多个矿山企业使用的矿山道路有24公里直接穿越国家公园，属锅巴岩矿区的13.6公里矿山道路中，更是有1.9公里穿越核心保护区，重型运输车辆络绎不绝，无任何降噪抑尘措施。正兴、祥海等矿山企业开采作业区废水收集处理简单粗放。矿区地表水受到污染，大量乳白色废水经多条沟渠汇入位于国家公园内的锅巴岩沟、得胜沟等水系，调查还发现，陇东矿区三兴矿业大量乳白色废水经陇东小沟排入西河，导致西河变成“牛奶河”；鑫丰达制砂厂在东河河道内违法生产，废水直排东河，导致东河变成“墨水河”。</w:t>
            </w:r>
          </w:p>
        </w:tc>
      </w:tr>
      <w:tr w14:paraId="5FDA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976"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54C86808">
            <w:pPr>
              <w:overflowPunct w:val="0"/>
              <w:topLinePunct/>
              <w:spacing w:line="500" w:lineRule="exact"/>
              <w:jc w:val="center"/>
              <w:rPr>
                <w:rFonts w:hint="eastAsia" w:ascii="黑体" w:hAnsi="黑体" w:eastAsia="黑体"/>
                <w:kern w:val="0"/>
                <w:sz w:val="32"/>
                <w:szCs w:val="32"/>
              </w:rPr>
            </w:pPr>
            <w:r>
              <w:rPr>
                <w:rFonts w:ascii="黑体" w:hAnsi="黑体" w:eastAsia="黑体"/>
                <w:kern w:val="0"/>
                <w:sz w:val="32"/>
                <w:szCs w:val="32"/>
              </w:rPr>
              <w:t>整改责任单位</w:t>
            </w:r>
          </w:p>
        </w:tc>
        <w:tc>
          <w:tcPr>
            <w:tcW w:w="6712" w:type="dxa"/>
            <w:tcBorders>
              <w:top w:val="single" w:color="auto" w:sz="4" w:space="0"/>
              <w:left w:val="nil"/>
              <w:bottom w:val="single" w:color="auto" w:sz="4" w:space="0"/>
              <w:right w:val="single" w:color="auto" w:sz="4" w:space="0"/>
            </w:tcBorders>
            <w:vAlign w:val="center"/>
          </w:tcPr>
          <w:p w14:paraId="70B79A76">
            <w:pPr>
              <w:overflowPunct w:val="0"/>
              <w:topLinePunct/>
              <w:spacing w:line="400" w:lineRule="exact"/>
              <w:ind w:firstLine="560" w:firstLineChars="200"/>
              <w:jc w:val="left"/>
              <w:rPr>
                <w:rFonts w:ascii="Times New Roman" w:hAnsi="Times New Roman" w:eastAsia="楷体_GB2312"/>
                <w:kern w:val="0"/>
                <w:sz w:val="28"/>
                <w:szCs w:val="28"/>
              </w:rPr>
            </w:pPr>
            <w:r>
              <w:rPr>
                <w:rFonts w:hint="eastAsia" w:ascii="方正仿宋_GBK" w:hAnsi="方正仿宋_GBK" w:eastAsia="方正仿宋_GBK" w:cs="方正仿宋_GBK"/>
                <w:sz w:val="28"/>
                <w:szCs w:val="24"/>
                <w:lang w:eastAsia="zh-CN"/>
              </w:rPr>
              <w:t>中共雅安市</w:t>
            </w:r>
            <w:r>
              <w:rPr>
                <w:rFonts w:hint="eastAsia" w:ascii="方正仿宋_GBK" w:hAnsi="方正仿宋_GBK" w:eastAsia="方正仿宋_GBK" w:cs="方正仿宋_GBK"/>
                <w:sz w:val="28"/>
                <w:szCs w:val="24"/>
              </w:rPr>
              <w:t>委、</w:t>
            </w:r>
            <w:r>
              <w:rPr>
                <w:rFonts w:hint="eastAsia" w:ascii="方正仿宋_GBK" w:hAnsi="方正仿宋_GBK" w:eastAsia="方正仿宋_GBK" w:cs="方正仿宋_GBK"/>
                <w:sz w:val="28"/>
                <w:szCs w:val="24"/>
                <w:lang w:eastAsia="zh-CN"/>
              </w:rPr>
              <w:t>雅安市人民</w:t>
            </w:r>
            <w:r>
              <w:rPr>
                <w:rFonts w:hint="eastAsia" w:ascii="方正仿宋_GBK" w:hAnsi="方正仿宋_GBK" w:eastAsia="方正仿宋_GBK" w:cs="方正仿宋_GBK"/>
                <w:sz w:val="28"/>
                <w:szCs w:val="24"/>
              </w:rPr>
              <w:t>政府</w:t>
            </w:r>
          </w:p>
        </w:tc>
      </w:tr>
      <w:tr w14:paraId="09B6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02"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27E53D99">
            <w:pPr>
              <w:overflowPunct w:val="0"/>
              <w:topLinePunct/>
              <w:spacing w:line="500" w:lineRule="exact"/>
              <w:jc w:val="center"/>
              <w:rPr>
                <w:rFonts w:hint="eastAsia" w:ascii="黑体" w:hAnsi="黑体" w:eastAsia="黑体"/>
                <w:kern w:val="0"/>
                <w:sz w:val="32"/>
                <w:szCs w:val="32"/>
              </w:rPr>
            </w:pPr>
            <w:r>
              <w:rPr>
                <w:rFonts w:ascii="黑体" w:hAnsi="黑体" w:eastAsia="黑体"/>
                <w:kern w:val="0"/>
                <w:sz w:val="32"/>
                <w:szCs w:val="32"/>
              </w:rPr>
              <w:t>整改目标</w:t>
            </w:r>
          </w:p>
        </w:tc>
        <w:tc>
          <w:tcPr>
            <w:tcW w:w="6712" w:type="dxa"/>
            <w:tcBorders>
              <w:top w:val="single" w:color="auto" w:sz="4" w:space="0"/>
              <w:left w:val="nil"/>
              <w:bottom w:val="single" w:color="auto" w:sz="4" w:space="0"/>
              <w:right w:val="single" w:color="auto" w:sz="4" w:space="0"/>
            </w:tcBorders>
            <w:vAlign w:val="center"/>
          </w:tcPr>
          <w:p w14:paraId="27C47F87">
            <w:pPr>
              <w:overflowPunct w:val="0"/>
              <w:topLinePunct/>
              <w:spacing w:line="400" w:lineRule="exact"/>
              <w:ind w:firstLine="560" w:firstLineChars="200"/>
              <w:jc w:val="left"/>
              <w:rPr>
                <w:rFonts w:ascii="Times New Roman" w:hAnsi="Times New Roman" w:eastAsia="楷体_GB2312"/>
                <w:kern w:val="0"/>
                <w:sz w:val="28"/>
                <w:szCs w:val="28"/>
              </w:rPr>
            </w:pPr>
            <w:r>
              <w:rPr>
                <w:rFonts w:hint="eastAsia" w:ascii="方正仿宋_GBK" w:hAnsi="方正仿宋_GBK" w:eastAsia="方正仿宋_GBK" w:cs="方正仿宋_GBK"/>
                <w:sz w:val="28"/>
                <w:szCs w:val="24"/>
                <w:lang w:eastAsia="zh-CN"/>
              </w:rPr>
              <w:t>完成企业违法违规问题查处整改，依法依规严格管控原有矿山道路，有效减轻对大熊猫生境影响。</w:t>
            </w:r>
          </w:p>
        </w:tc>
      </w:tr>
      <w:tr w14:paraId="70CB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673"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73DB2AA8">
            <w:pPr>
              <w:overflowPunct w:val="0"/>
              <w:topLinePunct/>
              <w:spacing w:line="500" w:lineRule="exact"/>
              <w:jc w:val="center"/>
              <w:rPr>
                <w:rFonts w:hint="eastAsia" w:ascii="黑体" w:hAnsi="黑体" w:eastAsia="黑体"/>
                <w:kern w:val="0"/>
                <w:sz w:val="32"/>
                <w:szCs w:val="32"/>
              </w:rPr>
            </w:pPr>
            <w:r>
              <w:rPr>
                <w:rFonts w:ascii="黑体" w:hAnsi="黑体" w:eastAsia="黑体"/>
                <w:kern w:val="0"/>
                <w:sz w:val="32"/>
                <w:szCs w:val="32"/>
              </w:rPr>
              <w:t>整改措施</w:t>
            </w:r>
          </w:p>
        </w:tc>
        <w:tc>
          <w:tcPr>
            <w:tcW w:w="6712" w:type="dxa"/>
            <w:tcBorders>
              <w:top w:val="single" w:color="auto" w:sz="4" w:space="0"/>
              <w:left w:val="nil"/>
              <w:bottom w:val="single" w:color="auto" w:sz="4" w:space="0"/>
              <w:right w:val="single" w:color="auto" w:sz="4" w:space="0"/>
            </w:tcBorders>
            <w:vAlign w:val="center"/>
          </w:tcPr>
          <w:p w14:paraId="121CBD13">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1.2023年5月底前，取缔鑫丰达制砂厂加工点、关停拆除三兴大理石矿配套建设的荒料定型和切割车间。</w:t>
            </w:r>
          </w:p>
          <w:p w14:paraId="38BF8F38">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2.2023年5月底前，完成三兴大理石矿荒料定型和切割车间场地复绿；2023年9月底前，完成三兴大理石矿治理区修复治理工作。</w:t>
            </w:r>
          </w:p>
          <w:p w14:paraId="19C33E25">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3.2023年11月底前，完成鑫丰达制砂厂加工点、三兴大理石矿相关违法行为查处。</w:t>
            </w:r>
          </w:p>
          <w:p w14:paraId="6A238164">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4.2023年11月底前，责令锅巴岩、望香台矿区矿山企业停工停产，完成锅巴岩矿区正兴矿、望香台矿区祥海矿生态环境问题整治，确保生产废水循环利用不外排，并长期保持。</w:t>
            </w:r>
          </w:p>
          <w:p w14:paraId="5C3A4935">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5.穿越大熊猫国家公园核心区的1.9公里道路，禁止矿山企业生产经营车辆通行，其他穿越大熊猫国家公园的道路依法依规严格管控。</w:t>
            </w:r>
          </w:p>
          <w:p w14:paraId="1214526B">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6.2024年6月底前，依规依纪依法对存在失职、渎职单位和个人开展追责问责工作。</w:t>
            </w:r>
          </w:p>
          <w:p w14:paraId="2D81E857">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7.</w:t>
            </w:r>
            <w:r>
              <w:rPr>
                <w:rFonts w:hint="default" w:ascii="Times New Roman" w:hAnsi="Times New Roman" w:eastAsia="仿宋" w:cs="Times New Roman"/>
                <w:sz w:val="28"/>
                <w:szCs w:val="28"/>
                <w:lang w:eastAsia="zh-CN"/>
              </w:rPr>
              <w:t>加强对锅巴岩、望香台矿区及周边区域常态化监督检查，每年对东河、西河开展水质监测。</w:t>
            </w:r>
          </w:p>
          <w:p w14:paraId="017D8004">
            <w:pPr>
              <w:overflowPunct w:val="0"/>
              <w:topLinePunct/>
              <w:spacing w:line="400" w:lineRule="exact"/>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8.强化全市矿山生态环境问题排查，及时查处违法违规行为。</w:t>
            </w:r>
          </w:p>
          <w:p w14:paraId="3024DFDF">
            <w:pPr>
              <w:overflowPunct w:val="0"/>
              <w:topLinePunct/>
              <w:spacing w:line="400" w:lineRule="exact"/>
              <w:ind w:firstLine="560" w:firstLineChars="200"/>
              <w:rPr>
                <w:rFonts w:ascii="Times New Roman" w:hAnsi="Times New Roman" w:eastAsia="楷体_GB2312"/>
                <w:kern w:val="0"/>
                <w:sz w:val="28"/>
                <w:szCs w:val="28"/>
              </w:rPr>
            </w:pPr>
            <w:r>
              <w:rPr>
                <w:rFonts w:hint="default" w:ascii="Times New Roman" w:hAnsi="Times New Roman" w:eastAsia="仿宋" w:cs="Times New Roman"/>
                <w:sz w:val="28"/>
                <w:szCs w:val="28"/>
                <w:lang w:eastAsia="zh-CN"/>
              </w:rPr>
              <w:t>9.对大熊猫国家公园锅巴岩、望香台矿区人为干扰活动开展长期监测，客观评价人为干扰活动对大熊猫国家公园造成的影响，提出管控消减措施。</w:t>
            </w:r>
          </w:p>
        </w:tc>
      </w:tr>
      <w:tr w14:paraId="3DD5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3406"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3A181E9E">
            <w:pPr>
              <w:overflowPunct w:val="0"/>
              <w:topLinePunct/>
              <w:spacing w:line="500" w:lineRule="exact"/>
              <w:jc w:val="center"/>
              <w:rPr>
                <w:rFonts w:hint="eastAsia" w:ascii="黑体" w:hAnsi="黑体" w:eastAsia="黑体"/>
                <w:kern w:val="0"/>
                <w:sz w:val="32"/>
                <w:szCs w:val="32"/>
              </w:rPr>
            </w:pPr>
            <w:r>
              <w:rPr>
                <w:rFonts w:ascii="黑体" w:hAnsi="黑体" w:eastAsia="黑体"/>
                <w:kern w:val="0"/>
                <w:sz w:val="32"/>
                <w:szCs w:val="32"/>
              </w:rPr>
              <w:t>整改主要工作</w:t>
            </w:r>
          </w:p>
          <w:p w14:paraId="13EF704E">
            <w:pPr>
              <w:overflowPunct w:val="0"/>
              <w:topLinePunct/>
              <w:spacing w:line="500" w:lineRule="exact"/>
              <w:jc w:val="center"/>
              <w:rPr>
                <w:rFonts w:hint="eastAsia" w:ascii="黑体" w:hAnsi="黑体" w:eastAsia="黑体"/>
                <w:kern w:val="0"/>
                <w:sz w:val="32"/>
                <w:szCs w:val="32"/>
              </w:rPr>
            </w:pPr>
            <w:r>
              <w:rPr>
                <w:rFonts w:ascii="黑体" w:hAnsi="黑体" w:eastAsia="黑体"/>
                <w:kern w:val="0"/>
                <w:sz w:val="32"/>
                <w:szCs w:val="32"/>
              </w:rPr>
              <w:t>及成效</w:t>
            </w:r>
          </w:p>
        </w:tc>
        <w:tc>
          <w:tcPr>
            <w:tcW w:w="6712" w:type="dxa"/>
            <w:tcBorders>
              <w:top w:val="single" w:color="auto" w:sz="4" w:space="0"/>
              <w:left w:val="nil"/>
              <w:bottom w:val="single" w:color="auto" w:sz="4" w:space="0"/>
              <w:right w:val="single" w:color="auto" w:sz="4" w:space="0"/>
            </w:tcBorders>
            <w:vAlign w:val="center"/>
          </w:tcPr>
          <w:p w14:paraId="4400A022">
            <w:pPr>
              <w:overflowPunct w:val="0"/>
              <w:topLinePunct/>
              <w:spacing w:line="400" w:lineRule="exact"/>
              <w:ind w:firstLine="560" w:firstLineChars="2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第1条措施完成情况：</w:t>
            </w:r>
            <w:r>
              <w:rPr>
                <w:rFonts w:hint="default" w:ascii="Times New Roman" w:hAnsi="Times New Roman" w:eastAsia="方正仿宋_GBK" w:cs="Times New Roman"/>
                <w:sz w:val="28"/>
                <w:szCs w:val="24"/>
                <w:lang w:eastAsia="zh-CN"/>
              </w:rPr>
              <w:t>已于2023年5月底前，</w:t>
            </w:r>
            <w:r>
              <w:rPr>
                <w:rFonts w:hint="default" w:ascii="Times New Roman" w:hAnsi="Times New Roman" w:eastAsia="方正仿宋_GBK" w:cs="Times New Roman"/>
                <w:sz w:val="28"/>
                <w:szCs w:val="24"/>
              </w:rPr>
              <w:t>取缔鑫丰达制砂厂加工点、关停拆除三兴大理石矿配套建设的荒料定型和切割车间。</w:t>
            </w:r>
          </w:p>
          <w:p w14:paraId="3BAF070C">
            <w:pPr>
              <w:overflowPunct w:val="0"/>
              <w:topLinePunct/>
              <w:spacing w:line="400" w:lineRule="exact"/>
              <w:ind w:firstLine="560" w:firstLineChars="2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第2条措施完成情况：已于2023年5月底前，完成三兴大理石矿荒料定型和切割车间场地复绿，于2023年9月底前，三兴大理石矿治理区生态修复治理。</w:t>
            </w:r>
          </w:p>
          <w:p w14:paraId="358FF131">
            <w:pPr>
              <w:overflowPunct w:val="0"/>
              <w:topLinePunct/>
              <w:spacing w:line="400" w:lineRule="exact"/>
              <w:ind w:firstLine="560" w:firstLineChars="2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第3条措施完成情况：</w:t>
            </w:r>
            <w:r>
              <w:rPr>
                <w:rFonts w:hint="default" w:ascii="Times New Roman" w:hAnsi="Times New Roman" w:eastAsia="方正仿宋_GBK" w:cs="Times New Roman"/>
                <w:sz w:val="28"/>
                <w:szCs w:val="24"/>
                <w:lang w:eastAsia="zh-CN"/>
              </w:rPr>
              <w:t>已于</w:t>
            </w:r>
            <w:r>
              <w:rPr>
                <w:rFonts w:hint="default" w:ascii="Times New Roman" w:hAnsi="Times New Roman" w:eastAsia="方正仿宋_GBK" w:cs="Times New Roman"/>
                <w:sz w:val="28"/>
                <w:szCs w:val="24"/>
              </w:rPr>
              <w:t>2023年11月底前，</w:t>
            </w:r>
            <w:r>
              <w:rPr>
                <w:rFonts w:hint="default" w:ascii="Times New Roman" w:hAnsi="Times New Roman" w:eastAsia="方正仿宋_GBK" w:cs="Times New Roman"/>
                <w:sz w:val="28"/>
                <w:szCs w:val="24"/>
                <w:lang w:eastAsia="zh-CN"/>
              </w:rPr>
              <w:t>依法查处鑫丰达制砂厂加工点、三兴大理石矿相关违法行为。</w:t>
            </w:r>
          </w:p>
          <w:p w14:paraId="54A9517E">
            <w:pPr>
              <w:overflowPunct w:val="0"/>
              <w:topLinePunct/>
              <w:spacing w:line="400" w:lineRule="exact"/>
              <w:ind w:firstLine="560" w:firstLineChars="2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第</w:t>
            </w:r>
            <w:r>
              <w:rPr>
                <w:rFonts w:hint="default" w:ascii="Times New Roman" w:hAnsi="Times New Roman" w:eastAsia="方正仿宋_GBK" w:cs="Times New Roman"/>
                <w:sz w:val="28"/>
                <w:szCs w:val="24"/>
                <w:lang w:val="en-US" w:eastAsia="zh-CN"/>
              </w:rPr>
              <w:t>4</w:t>
            </w:r>
            <w:r>
              <w:rPr>
                <w:rFonts w:hint="default" w:ascii="Times New Roman" w:hAnsi="Times New Roman" w:eastAsia="方正仿宋_GBK" w:cs="Times New Roman"/>
                <w:sz w:val="28"/>
                <w:szCs w:val="24"/>
              </w:rPr>
              <w:t>条措施完成情况：</w:t>
            </w:r>
            <w:r>
              <w:rPr>
                <w:rFonts w:hint="default" w:ascii="Times New Roman" w:hAnsi="Times New Roman" w:eastAsia="方正仿宋_GBK" w:cs="Times New Roman"/>
                <w:sz w:val="28"/>
                <w:szCs w:val="24"/>
                <w:lang w:eastAsia="zh-CN"/>
              </w:rPr>
              <w:t>已于2023年11月底前，责令锅巴岩、望香台矿区矿山企业停工停产，制定废水处置整治方案，建立工作机制，完成锅巴岩矿区正兴矿、望香台矿区祥海矿生态环境问题整治。</w:t>
            </w:r>
          </w:p>
          <w:p w14:paraId="7C96AFC6">
            <w:pPr>
              <w:overflowPunct w:val="0"/>
              <w:topLinePunct/>
              <w:spacing w:line="400" w:lineRule="exact"/>
              <w:ind w:firstLine="560" w:firstLineChars="200"/>
              <w:rPr>
                <w:rFonts w:hint="default" w:ascii="Times New Roman" w:hAnsi="Times New Roman" w:eastAsia="方正仿宋_GBK" w:cs="Times New Roman"/>
                <w:sz w:val="28"/>
                <w:szCs w:val="24"/>
                <w:lang w:val="en-US" w:eastAsia="zh-CN"/>
              </w:rPr>
            </w:pPr>
            <w:r>
              <w:rPr>
                <w:rFonts w:hint="default" w:ascii="Times New Roman" w:hAnsi="Times New Roman" w:eastAsia="方正仿宋_GBK" w:cs="Times New Roman"/>
                <w:sz w:val="28"/>
                <w:szCs w:val="24"/>
              </w:rPr>
              <w:t>第</w:t>
            </w:r>
            <w:r>
              <w:rPr>
                <w:rFonts w:hint="default" w:ascii="Times New Roman" w:hAnsi="Times New Roman" w:eastAsia="方正仿宋_GBK" w:cs="Times New Roman"/>
                <w:sz w:val="28"/>
                <w:szCs w:val="24"/>
                <w:lang w:val="en-US" w:eastAsia="zh-CN"/>
              </w:rPr>
              <w:t>5</w:t>
            </w:r>
            <w:r>
              <w:rPr>
                <w:rFonts w:hint="default" w:ascii="Times New Roman" w:hAnsi="Times New Roman" w:eastAsia="方正仿宋_GBK" w:cs="Times New Roman"/>
                <w:sz w:val="28"/>
                <w:szCs w:val="24"/>
              </w:rPr>
              <w:t>条措施完成情况：</w:t>
            </w:r>
            <w:r>
              <w:rPr>
                <w:rFonts w:hint="default" w:ascii="Times New Roman" w:hAnsi="Times New Roman" w:eastAsia="方正仿宋_GBK" w:cs="Times New Roman"/>
                <w:sz w:val="28"/>
                <w:szCs w:val="24"/>
                <w:lang w:eastAsia="zh-CN"/>
              </w:rPr>
              <w:t>已于2023年9月底前在锅巴岩设置检查站，严格禁止核心保护区1.9公里通行矿山运输车辆，</w:t>
            </w:r>
            <w:r>
              <w:rPr>
                <w:rFonts w:hint="default" w:ascii="Times New Roman" w:hAnsi="Times New Roman" w:eastAsia="方正仿宋_GBK" w:cs="Times New Roman"/>
                <w:sz w:val="28"/>
                <w:szCs w:val="24"/>
                <w:lang w:val="en-US" w:eastAsia="zh-CN"/>
              </w:rPr>
              <w:t>并</w:t>
            </w:r>
            <w:r>
              <w:rPr>
                <w:rFonts w:hint="default" w:ascii="Times New Roman" w:hAnsi="Times New Roman" w:eastAsia="方正仿宋_GBK" w:cs="Times New Roman"/>
                <w:sz w:val="28"/>
                <w:szCs w:val="24"/>
                <w:lang w:eastAsia="zh-CN"/>
              </w:rPr>
              <w:t>对锅巴岩沟、黄店子沟、得胜沟一般控制区内矿山道路采取限高措施，依法严格管控。</w:t>
            </w:r>
          </w:p>
          <w:p w14:paraId="2100F8CA">
            <w:pPr>
              <w:overflowPunct w:val="0"/>
              <w:topLinePunct/>
              <w:spacing w:line="400" w:lineRule="exact"/>
              <w:ind w:firstLine="560" w:firstLineChars="200"/>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lang w:val="en-US" w:eastAsia="zh-CN"/>
              </w:rPr>
              <w:t xml:space="preserve"> </w:t>
            </w:r>
            <w:r>
              <w:rPr>
                <w:rFonts w:hint="default" w:ascii="Times New Roman" w:hAnsi="Times New Roman" w:eastAsia="方正仿宋_GBK" w:cs="Times New Roman"/>
                <w:sz w:val="28"/>
                <w:szCs w:val="24"/>
              </w:rPr>
              <w:t>第</w:t>
            </w:r>
            <w:r>
              <w:rPr>
                <w:rFonts w:hint="default" w:ascii="Times New Roman" w:hAnsi="Times New Roman" w:eastAsia="方正仿宋_GBK" w:cs="Times New Roman"/>
                <w:sz w:val="28"/>
                <w:szCs w:val="24"/>
                <w:lang w:val="en-US" w:eastAsia="zh-CN"/>
              </w:rPr>
              <w:t>6</w:t>
            </w:r>
            <w:r>
              <w:rPr>
                <w:rFonts w:hint="default" w:ascii="Times New Roman" w:hAnsi="Times New Roman" w:eastAsia="方正仿宋_GBK" w:cs="Times New Roman"/>
                <w:sz w:val="28"/>
                <w:szCs w:val="24"/>
              </w:rPr>
              <w:t>条措施完成情况：</w:t>
            </w:r>
            <w:r>
              <w:rPr>
                <w:rFonts w:hint="default" w:ascii="Times New Roman" w:hAnsi="Times New Roman" w:eastAsia="方正仿宋_GBK" w:cs="Times New Roman"/>
                <w:sz w:val="28"/>
                <w:szCs w:val="24"/>
                <w:lang w:eastAsia="zh-CN"/>
              </w:rPr>
              <w:t>已按时序完成对存在失职、渎职问题的相关单位和个人追责问责工作。</w:t>
            </w:r>
          </w:p>
          <w:p w14:paraId="27C9C5C1">
            <w:pPr>
              <w:overflowPunct w:val="0"/>
              <w:topLinePunct/>
              <w:spacing w:line="400" w:lineRule="exact"/>
              <w:ind w:firstLine="560" w:firstLineChars="200"/>
              <w:rPr>
                <w:rFonts w:hint="default" w:ascii="Times New Roman" w:hAnsi="Times New Roman" w:eastAsia="方正仿宋_GBK" w:cs="Times New Roman"/>
                <w:sz w:val="28"/>
                <w:szCs w:val="24"/>
                <w:lang w:eastAsia="zh-CN"/>
              </w:rPr>
            </w:pPr>
            <w:r>
              <w:rPr>
                <w:rFonts w:hint="default" w:ascii="Times New Roman" w:hAnsi="Times New Roman" w:eastAsia="方正仿宋_GBK" w:cs="Times New Roman"/>
                <w:sz w:val="28"/>
                <w:szCs w:val="24"/>
              </w:rPr>
              <w:t>第</w:t>
            </w:r>
            <w:r>
              <w:rPr>
                <w:rFonts w:hint="default" w:ascii="Times New Roman" w:hAnsi="Times New Roman" w:eastAsia="方正仿宋_GBK" w:cs="Times New Roman"/>
                <w:sz w:val="28"/>
                <w:szCs w:val="24"/>
                <w:lang w:val="en-US" w:eastAsia="zh-CN"/>
              </w:rPr>
              <w:t>7</w:t>
            </w:r>
            <w:r>
              <w:rPr>
                <w:rFonts w:hint="default" w:ascii="Times New Roman" w:hAnsi="Times New Roman" w:eastAsia="方正仿宋_GBK" w:cs="Times New Roman"/>
                <w:sz w:val="28"/>
                <w:szCs w:val="24"/>
              </w:rPr>
              <w:t>条措施完成情况：</w:t>
            </w:r>
            <w:r>
              <w:rPr>
                <w:rFonts w:hint="default" w:ascii="Times New Roman" w:hAnsi="Times New Roman" w:eastAsia="方正仿宋_GBK" w:cs="Times New Roman"/>
                <w:sz w:val="28"/>
                <w:szCs w:val="24"/>
                <w:lang w:eastAsia="zh-CN"/>
              </w:rPr>
              <w:t>印发地表水监测方案和生态环境常态化监督检查工作方案，已完成2024年上半年东河、西河水质监测。</w:t>
            </w:r>
          </w:p>
          <w:p w14:paraId="781FC59C">
            <w:pPr>
              <w:overflowPunct w:val="0"/>
              <w:topLinePunct/>
              <w:spacing w:line="400" w:lineRule="exact"/>
              <w:ind w:firstLine="560" w:firstLineChars="200"/>
              <w:rPr>
                <w:rFonts w:hint="default" w:ascii="Times New Roman" w:hAnsi="Times New Roman" w:eastAsia="方正仿宋_GBK" w:cs="Times New Roman"/>
                <w:sz w:val="28"/>
                <w:szCs w:val="24"/>
              </w:rPr>
            </w:pPr>
            <w:r>
              <w:rPr>
                <w:rFonts w:hint="default" w:ascii="Times New Roman" w:hAnsi="Times New Roman" w:eastAsia="方正仿宋_GBK" w:cs="Times New Roman"/>
                <w:sz w:val="28"/>
                <w:szCs w:val="24"/>
              </w:rPr>
              <w:t>第</w:t>
            </w:r>
            <w:r>
              <w:rPr>
                <w:rFonts w:hint="default" w:ascii="Times New Roman" w:hAnsi="Times New Roman" w:eastAsia="方正仿宋_GBK" w:cs="Times New Roman"/>
                <w:sz w:val="28"/>
                <w:szCs w:val="24"/>
                <w:lang w:val="en-US" w:eastAsia="zh-CN"/>
              </w:rPr>
              <w:t>8</w:t>
            </w:r>
            <w:r>
              <w:rPr>
                <w:rFonts w:hint="default" w:ascii="Times New Roman" w:hAnsi="Times New Roman" w:eastAsia="方正仿宋_GBK" w:cs="Times New Roman"/>
                <w:sz w:val="28"/>
                <w:szCs w:val="24"/>
              </w:rPr>
              <w:t>条措施完成情况：</w:t>
            </w:r>
            <w:r>
              <w:rPr>
                <w:rFonts w:hint="default" w:ascii="Times New Roman" w:hAnsi="Times New Roman" w:eastAsia="方正仿宋_GBK" w:cs="Times New Roman"/>
                <w:sz w:val="28"/>
                <w:szCs w:val="24"/>
                <w:lang w:eastAsia="zh-CN"/>
              </w:rPr>
              <w:t>印发工作方案并全面排查全市有效矿山</w:t>
            </w:r>
            <w:r>
              <w:rPr>
                <w:rFonts w:hint="default" w:ascii="Times New Roman" w:hAnsi="Times New Roman" w:eastAsia="方正仿宋_GBK" w:cs="Times New Roman"/>
                <w:sz w:val="28"/>
                <w:szCs w:val="24"/>
              </w:rPr>
              <w:t>生态环境问题，</w:t>
            </w:r>
            <w:r>
              <w:rPr>
                <w:rFonts w:hint="default" w:ascii="Times New Roman" w:hAnsi="Times New Roman" w:eastAsia="方正仿宋_GBK" w:cs="Times New Roman"/>
                <w:sz w:val="28"/>
                <w:szCs w:val="24"/>
                <w:lang w:eastAsia="zh-CN"/>
              </w:rPr>
              <w:t>并</w:t>
            </w:r>
            <w:r>
              <w:rPr>
                <w:rFonts w:hint="default" w:ascii="Times New Roman" w:hAnsi="Times New Roman" w:eastAsia="方正仿宋_GBK" w:cs="Times New Roman"/>
                <w:sz w:val="28"/>
                <w:szCs w:val="24"/>
              </w:rPr>
              <w:t>对排查出的违法违规问题进行了及时查处</w:t>
            </w:r>
            <w:r>
              <w:rPr>
                <w:rFonts w:hint="default" w:ascii="Times New Roman" w:hAnsi="Times New Roman" w:eastAsia="方正仿宋_GBK" w:cs="Times New Roman"/>
                <w:sz w:val="28"/>
                <w:szCs w:val="24"/>
                <w:lang w:eastAsia="zh-CN"/>
              </w:rPr>
              <w:t>。</w:t>
            </w:r>
          </w:p>
          <w:p w14:paraId="00F44A8D">
            <w:pPr>
              <w:overflowPunct w:val="0"/>
              <w:topLinePunct/>
              <w:spacing w:line="400" w:lineRule="exact"/>
              <w:ind w:firstLine="560" w:firstLineChars="200"/>
              <w:rPr>
                <w:rFonts w:ascii="Times New Roman" w:hAnsi="Times New Roman" w:eastAsia="方正仿宋_GBK" w:cs="Times New Roman"/>
                <w:sz w:val="28"/>
                <w:szCs w:val="24"/>
              </w:rPr>
            </w:pPr>
            <w:r>
              <w:rPr>
                <w:rFonts w:hint="default" w:ascii="Times New Roman" w:hAnsi="Times New Roman" w:eastAsia="方正仿宋_GBK" w:cs="Times New Roman"/>
                <w:sz w:val="28"/>
                <w:szCs w:val="24"/>
              </w:rPr>
              <w:t>第</w:t>
            </w:r>
            <w:r>
              <w:rPr>
                <w:rFonts w:hint="default" w:ascii="Times New Roman" w:hAnsi="Times New Roman" w:eastAsia="方正仿宋_GBK" w:cs="Times New Roman"/>
                <w:sz w:val="28"/>
                <w:szCs w:val="24"/>
                <w:lang w:val="en-US" w:eastAsia="zh-CN"/>
              </w:rPr>
              <w:t>9</w:t>
            </w:r>
            <w:r>
              <w:rPr>
                <w:rFonts w:hint="default" w:ascii="Times New Roman" w:hAnsi="Times New Roman" w:eastAsia="方正仿宋_GBK" w:cs="Times New Roman"/>
                <w:sz w:val="28"/>
                <w:szCs w:val="24"/>
              </w:rPr>
              <w:t>条措施完成情况：</w:t>
            </w:r>
            <w:r>
              <w:rPr>
                <w:rFonts w:hint="default" w:ascii="Times New Roman" w:hAnsi="Times New Roman" w:eastAsia="方正仿宋_GBK" w:cs="Times New Roman"/>
                <w:sz w:val="28"/>
                <w:szCs w:val="24"/>
                <w:lang w:eastAsia="zh-CN"/>
              </w:rPr>
              <w:t>已发布由中科院成都生物研究所开展的矿山道路对大熊猫国家公园生态影响评价和锅巴岩、望香台片区人为干扰活动监测，客观评价人为干扰活动对大熊猫国家公园造成的影响</w:t>
            </w:r>
            <w:r>
              <w:rPr>
                <w:rFonts w:hint="eastAsia" w:ascii="Times New Roman" w:hAnsi="Times New Roman" w:eastAsia="方正仿宋_GBK" w:cs="Times New Roman"/>
                <w:sz w:val="28"/>
                <w:szCs w:val="24"/>
                <w:lang w:eastAsia="zh-CN"/>
              </w:rPr>
              <w:t>，得出“</w:t>
            </w:r>
            <w:r>
              <w:rPr>
                <w:rFonts w:hint="eastAsia" w:ascii="Times New Roman" w:hAnsi="Times New Roman" w:eastAsia="方正仿宋_GBK" w:cs="Times New Roman"/>
                <w:sz w:val="28"/>
                <w:szCs w:val="24"/>
                <w:lang w:val="en-US" w:eastAsia="zh-CN"/>
              </w:rPr>
              <w:t>矿区道路运营对评价区植物、大熊猫等野生动物、水生生物以及景观等的影响是有限且可恢复的影响</w:t>
            </w:r>
            <w:r>
              <w:rPr>
                <w:rFonts w:hint="eastAsia" w:ascii="Times New Roman" w:hAnsi="Times New Roman" w:eastAsia="方正仿宋_GBK" w:cs="Times New Roman"/>
                <w:sz w:val="28"/>
                <w:szCs w:val="24"/>
                <w:lang w:eastAsia="zh-CN"/>
              </w:rPr>
              <w:t>”等评估结论，并结合</w:t>
            </w:r>
            <w:r>
              <w:rPr>
                <w:rFonts w:hint="default" w:ascii="Times New Roman" w:hAnsi="Times New Roman" w:eastAsia="方正仿宋_GBK" w:cs="Times New Roman"/>
                <w:sz w:val="28"/>
                <w:szCs w:val="24"/>
                <w:lang w:val="en-US" w:eastAsia="zh-CN"/>
              </w:rPr>
              <w:t>《四川省大熊猫国家公园管理条例》</w:t>
            </w:r>
            <w:r>
              <w:rPr>
                <w:rFonts w:hint="eastAsia" w:ascii="Times New Roman" w:hAnsi="Times New Roman" w:eastAsia="方正仿宋_GBK" w:cs="Times New Roman"/>
                <w:sz w:val="28"/>
                <w:szCs w:val="24"/>
                <w:lang w:val="en-US" w:eastAsia="zh-CN"/>
              </w:rPr>
              <w:t>相关规定，</w:t>
            </w:r>
            <w:r>
              <w:rPr>
                <w:rFonts w:hint="default" w:ascii="Times New Roman" w:hAnsi="Times New Roman" w:eastAsia="方正仿宋_GBK" w:cs="Times New Roman"/>
                <w:sz w:val="28"/>
                <w:szCs w:val="24"/>
                <w:lang w:eastAsia="zh-CN"/>
              </w:rPr>
              <w:t>提出管控消减措施。</w:t>
            </w:r>
          </w:p>
        </w:tc>
      </w:tr>
    </w:tbl>
    <w:p w14:paraId="20E7E925">
      <w:pPr>
        <w:widowControl/>
        <w:spacing w:line="600" w:lineRule="exact"/>
        <w:jc w:val="left"/>
      </w:pPr>
      <w:bookmarkStart w:id="0" w:name="_GoBack"/>
      <w:bookmarkEnd w:id="0"/>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4549140</wp:posOffset>
                </wp:positionH>
                <wp:positionV relativeFrom="paragraph">
                  <wp:posOffset>8097520</wp:posOffset>
                </wp:positionV>
                <wp:extent cx="1228725" cy="471805"/>
                <wp:effectExtent l="0" t="0" r="9525" b="4445"/>
                <wp:wrapNone/>
                <wp:docPr id="4" name="文本框 4"/>
                <wp:cNvGraphicFramePr/>
                <a:graphic xmlns:a="http://schemas.openxmlformats.org/drawingml/2006/main">
                  <a:graphicData uri="http://schemas.microsoft.com/office/word/2010/wordprocessingShape">
                    <wps:wsp>
                      <wps:cNvSpPr txBox="1"/>
                      <wps:spPr>
                        <a:xfrm>
                          <a:off x="0" y="0"/>
                          <a:ext cx="1228725" cy="471488"/>
                        </a:xfrm>
                        <a:prstGeom prst="rect">
                          <a:avLst/>
                        </a:prstGeom>
                        <a:solidFill>
                          <a:schemeClr val="lt1"/>
                        </a:solidFill>
                        <a:ln w="6350">
                          <a:noFill/>
                        </a:ln>
                      </wps:spPr>
                      <wps:txbx>
                        <w:txbxContent>
                          <w:p w14:paraId="2BADD81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2pt;margin-top:637.6pt;height:37.15pt;width:96.75pt;z-index:251659264;mso-width-relative:page;mso-height-relative:page;" fillcolor="#FFFFFF [3201]" filled="t" stroked="f" coordsize="21600,21600" o:gfxdata="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nyDXLdgAAAANAQAADwAA&#10;AAAAAAABACAAAAAiAAAAZHJzL2Rvd25yZXYueG1sUEsBAhQAFAAAAAgAh07iQI6FBwBPAgAAjwQA&#10;AA4AAAAAAAAAAQAgAAAAJwEAAGRycy9lMm9Eb2MueG1sUEsFBgAAAAAGAAYAWQEAAOgFAAAAAA==&#10;">
                <v:fill on="t" focussize="0,0"/>
                <v:stroke on="f" weight="0.5pt"/>
                <v:imagedata o:title=""/>
                <o:lock v:ext="edit" aspectratio="f"/>
                <v:textbox>
                  <w:txbxContent>
                    <w:p w14:paraId="2BADD81D">
                      <w:pPr>
                        <w:rPr>
                          <w:rFonts w:hint="eastAsia"/>
                        </w:rPr>
                      </w:pPr>
                    </w:p>
                  </w:txbxContent>
                </v:textbox>
              </v:shape>
            </w:pict>
          </mc:Fallback>
        </mc:AlternateContent>
      </w:r>
      <w:r>
        <w:rPr>
          <w:rFonts w:hint="eastAsia" w:ascii="Times New Roman" w:hAnsi="Times New Roman"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4724400</wp:posOffset>
                </wp:positionH>
                <wp:positionV relativeFrom="paragraph">
                  <wp:posOffset>8359140</wp:posOffset>
                </wp:positionV>
                <wp:extent cx="871855" cy="457200"/>
                <wp:effectExtent l="0" t="0" r="4445" b="0"/>
                <wp:wrapNone/>
                <wp:docPr id="2" name="文本框 2"/>
                <wp:cNvGraphicFramePr/>
                <a:graphic xmlns:a="http://schemas.openxmlformats.org/drawingml/2006/main">
                  <a:graphicData uri="http://schemas.microsoft.com/office/word/2010/wordprocessingShape">
                    <wps:wsp>
                      <wps:cNvSpPr txBox="1"/>
                      <wps:spPr>
                        <a:xfrm>
                          <a:off x="0" y="0"/>
                          <a:ext cx="871538" cy="457200"/>
                        </a:xfrm>
                        <a:prstGeom prst="rect">
                          <a:avLst/>
                        </a:prstGeom>
                        <a:solidFill>
                          <a:schemeClr val="lt1"/>
                        </a:solidFill>
                        <a:ln w="6350">
                          <a:noFill/>
                        </a:ln>
                      </wps:spPr>
                      <wps:txbx>
                        <w:txbxContent>
                          <w:p w14:paraId="20BEBCB0">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pt;margin-top:658.2pt;height:36pt;width:68.65pt;z-index:251660288;mso-width-relative:page;mso-height-relative:page;" fillcolor="#FFFFFF [3201]" filled="t" stroked="f" coordsize="21600,21600" o:gfxdata="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M5cQdcAAAANAQAADwAAAAAA&#10;AAABACAAAAAiAAAAZHJzL2Rvd25yZXYueG1sUEsBAhQAFAAAAAgAh07iQPl4DmdNAgAAjgQAAA4A&#10;AAAAAAAAAQAgAAAAJgEAAGRycy9lMm9Eb2MueG1sUEsFBgAAAAAGAAYAWQEAAOUFAAAAAA==&#10;">
                <v:fill on="t" focussize="0,0"/>
                <v:stroke on="f" weight="0.5pt"/>
                <v:imagedata o:title=""/>
                <o:lock v:ext="edit" aspectratio="f"/>
                <v:textbox>
                  <w:txbxContent>
                    <w:p w14:paraId="20BEBCB0">
                      <w:pPr>
                        <w:rPr>
                          <w:rFonts w:hint="eastAsia"/>
                        </w:rPr>
                      </w:pPr>
                    </w:p>
                  </w:txbxContent>
                </v:textbox>
              </v:shape>
            </w:pict>
          </mc:Fallback>
        </mc:AlternateContent>
      </w:r>
    </w:p>
    <w:sectPr>
      <w:footerReference r:id="rId3" w:type="default"/>
      <w:footerReference r:id="rId4" w:type="even"/>
      <w:pgSz w:w="11906" w:h="16838"/>
      <w:pgMar w:top="2098" w:right="1474" w:bottom="1247"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sz w:val="28"/>
        <w:szCs w:val="28"/>
      </w:rPr>
      <w:id w:val="974309"/>
      <w:docPartObj>
        <w:docPartGallery w:val="autotext"/>
      </w:docPartObj>
    </w:sdtPr>
    <w:sdtEndPr>
      <w:rPr>
        <w:rFonts w:hint="eastAsia" w:ascii="宋体" w:hAnsi="宋体" w:eastAsia="宋体"/>
        <w:sz w:val="28"/>
        <w:szCs w:val="28"/>
      </w:rPr>
    </w:sdtEndPr>
    <w:sdtContent>
      <w:p w14:paraId="2A6A3693">
        <w:pPr>
          <w:pStyle w:val="3"/>
          <w:ind w:left="210" w:leftChars="100" w:right="210" w:rightChars="100"/>
          <w:jc w:val="right"/>
          <w:rPr>
            <w:rFonts w:hint="eastAsia"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52027248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15</w:t>
            </w:r>
            <w:r>
              <w:rPr>
                <w:rFonts w:ascii="宋体" w:hAnsi="宋体" w:eastAsia="宋体"/>
                <w:sz w:val="28"/>
                <w:szCs w:val="28"/>
              </w:rPr>
              <w:fldChar w:fldCharType="end"/>
            </w:r>
          </w:sdtContent>
        </w:sdt>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sz w:val="28"/>
        <w:szCs w:val="28"/>
      </w:rPr>
      <w:id w:val="-1"/>
      <w:docPartObj>
        <w:docPartGallery w:val="autotext"/>
      </w:docPartObj>
    </w:sdtPr>
    <w:sdtEndPr>
      <w:rPr>
        <w:rFonts w:hint="eastAsia" w:ascii="宋体" w:hAnsi="宋体" w:eastAsia="宋体"/>
        <w:sz w:val="28"/>
        <w:szCs w:val="28"/>
      </w:rPr>
    </w:sdtEndPr>
    <w:sdtContent>
      <w:p w14:paraId="3007B420">
        <w:pPr>
          <w:pStyle w:val="3"/>
          <w:ind w:left="210" w:leftChars="100" w:right="210" w:rightChars="100"/>
          <w:rPr>
            <w:rFonts w:hint="eastAsia" w:ascii="宋体" w:hAnsi="宋体" w:eastAsia="宋体"/>
            <w:sz w:val="28"/>
            <w:szCs w:val="28"/>
          </w:rPr>
        </w:pPr>
        <w:r>
          <w:rPr>
            <w:rFonts w:hint="eastAsia" w:ascii="宋体" w:hAnsi="宋体" w:eastAsia="宋体"/>
            <w:sz w:val="28"/>
            <w:szCs w:val="28"/>
          </w:rPr>
          <w:t xml:space="preserve">— </w:t>
        </w:r>
        <w:sdt>
          <w:sdtPr>
            <w:rPr>
              <w:rFonts w:ascii="宋体" w:hAnsi="宋体" w:eastAsia="宋体"/>
              <w:sz w:val="28"/>
              <w:szCs w:val="28"/>
            </w:rPr>
            <w:id w:val="114755398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sdtContent>
        </w:sdt>
        <w:r>
          <w:rPr>
            <w:rFonts w:hint="eastAsia" w:ascii="宋体" w:hAnsi="宋体" w:eastAsia="宋体"/>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66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99"/>
    <w:rPr>
      <w:rFonts w:ascii="Calibri" w:hAnsi="Calibri" w:eastAsia="宋体" w:cs="黑体"/>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2025-04-21T06:40:52Z</dcterms:created>
  <dc:creator>Administrator</dc:creator>
  <cp:lastModifiedBy>Administrator</cp:lastModifiedBy>
  <dcterms:modified xsi:type="dcterms:W3CDTF">2025-04-21T06:41:19Z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eyJoZGlkIjoiZWI5NjJiOTgwOWYxZGQ3MjY0ZmRmMzdjODkzNjBhMWQifQ==</vt:lpwstr>
  </property>
  <property fmtid="{D5CDD505-2E9C-101B-9397-08002B2CF9AE}" pid="4" name="ICV">
    <vt:lpwstr>C405C0E2D01D4095A558B45EBE8AA001_12</vt:lpwstr>
  </property>
</Properties>
</file>