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700" w:lineRule="exact"/>
        <w:jc w:val="center"/>
        <w:outlineLvl w:val="1"/>
        <w:rPr>
          <w:rFonts w:hint="eastAsia" w:ascii="方正小标宋简体" w:hAnsi="文泉驿正黑" w:eastAsia="方正小标宋简体" w:cs="宋体"/>
          <w:color w:val="000000"/>
          <w:kern w:val="0"/>
          <w:sz w:val="44"/>
          <w:szCs w:val="44"/>
          <w:lang w:val="zh-CN" w:bidi="zh-CN"/>
        </w:rPr>
      </w:pPr>
      <w:bookmarkStart w:id="0" w:name="bookmark2"/>
      <w:r>
        <w:rPr>
          <w:rFonts w:hint="eastAsia" w:ascii="方正小标宋简体" w:hAnsi="文泉驿正黑" w:eastAsia="方正小标宋简体" w:cs="宋体"/>
          <w:color w:val="000000"/>
          <w:kern w:val="0"/>
          <w:sz w:val="44"/>
          <w:szCs w:val="44"/>
          <w:lang w:val="zh-CN" w:bidi="zh-CN"/>
        </w:rPr>
        <w:t>南江县城区基准地价及地价定义</w:t>
      </w:r>
      <w:bookmarkEnd w:id="0"/>
    </w:p>
    <w:p>
      <w:pPr>
        <w:spacing w:line="550" w:lineRule="exact"/>
        <w:ind w:firstLine="640" w:firstLineChars="200"/>
        <w:jc w:val="left"/>
        <w:rPr>
          <w:rFonts w:hint="eastAsia" w:ascii="黑体" w:hAnsi="黑体" w:eastAsia="黑体" w:cs="宋体"/>
          <w:color w:val="000000"/>
          <w:kern w:val="0"/>
          <w:sz w:val="32"/>
          <w:szCs w:val="32"/>
          <w:lang w:val="zh-CN" w:bidi="zh-CN"/>
        </w:rPr>
      </w:pPr>
      <w:r>
        <w:rPr>
          <w:rFonts w:hint="eastAsia" w:ascii="黑体" w:hAnsi="黑体" w:eastAsia="黑体" w:cs="宋体"/>
          <w:color w:val="000000"/>
          <w:kern w:val="0"/>
          <w:sz w:val="32"/>
          <w:szCs w:val="32"/>
          <w:lang w:val="zh-CN" w:bidi="zh-CN"/>
        </w:rPr>
        <w:t>一、南江县城区基准地价结果一览表</w:t>
      </w:r>
    </w:p>
    <w:tbl>
      <w:tblPr>
        <w:tblStyle w:val="6"/>
        <w:tblW w:w="8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177"/>
        <w:gridCol w:w="1177"/>
        <w:gridCol w:w="1178"/>
        <w:gridCol w:w="1178"/>
        <w:gridCol w:w="1178"/>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gridSpan w:val="2"/>
            <w:tcBorders>
              <w:tl2br w:val="single" w:color="auto" w:sz="4" w:space="0"/>
            </w:tcBorders>
            <w:vAlign w:val="center"/>
          </w:tcPr>
          <w:p>
            <w:pPr>
              <w:spacing w:line="300" w:lineRule="exact"/>
              <w:ind w:left="95" w:hanging="95" w:hangingChars="50"/>
              <w:jc w:val="left"/>
              <w:rPr>
                <w:rFonts w:ascii="宋体" w:hAnsi="文泉驿正黑" w:eastAsia="宋体" w:cs="宋体"/>
                <w:color w:val="000000"/>
                <w:kern w:val="0"/>
                <w:sz w:val="24"/>
                <w:szCs w:val="24"/>
                <w:lang w:val="zh-CN" w:bidi="zh-CN"/>
              </w:rPr>
            </w:pPr>
            <w:r>
              <w:rPr>
                <w:rFonts w:hint="eastAsia" w:ascii="CESI宋体-GB2312" w:hAnsi="文泉驿正黑" w:eastAsia="CESI宋体-GB2312" w:cs="宋体"/>
                <w:b/>
                <w:bCs/>
                <w:color w:val="000000"/>
                <w:spacing w:val="-10"/>
                <w:kern w:val="0"/>
                <w:szCs w:val="21"/>
                <w:lang w:val="zh-CN" w:bidi="zh-CN"/>
              </w:rPr>
              <w:t xml:space="preserve">                  </w:t>
            </w:r>
            <w:r>
              <w:rPr>
                <w:rFonts w:hint="eastAsia" w:ascii="CESI宋体-GB2312" w:hAnsi="文泉驿正黑" w:eastAsia="CESI宋体-GB2312" w:cs="宋体"/>
                <w:b/>
                <w:bCs/>
                <w:color w:val="000000"/>
                <w:kern w:val="0"/>
                <w:szCs w:val="21"/>
                <w:lang w:val="zh-CN" w:bidi="zh-CN"/>
              </w:rPr>
              <w:t>级别</w:t>
            </w:r>
            <w:r>
              <w:rPr>
                <w:rFonts w:hint="eastAsia" w:ascii="CESI宋体-GB2312" w:hAnsi="文泉驿正黑" w:eastAsia="CESI宋体-GB2312" w:cs="宋体"/>
                <w:b/>
                <w:color w:val="000000"/>
                <w:kern w:val="0"/>
                <w:szCs w:val="21"/>
                <w:lang w:val="zh-CN" w:bidi="zh-CN"/>
              </w:rPr>
              <w:t>用途</w:t>
            </w: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hint="eastAsia" w:ascii="CESI宋体-GB2312" w:hAnsi="Cambria" w:eastAsia="CESI宋体-GB2312" w:cs="Cambria"/>
                <w:color w:val="000000"/>
                <w:spacing w:val="-20"/>
                <w:kern w:val="0"/>
                <w:szCs w:val="21"/>
                <w:lang w:val="zh-CN" w:bidi="zh-CN"/>
              </w:rPr>
              <w:t>I</w:t>
            </w:r>
            <w:r>
              <w:rPr>
                <w:rFonts w:hint="eastAsia" w:ascii="CESI宋体-GB2312" w:hAnsi="文泉驿正黑" w:eastAsia="CESI宋体-GB2312" w:cs="宋体"/>
                <w:b/>
                <w:bCs/>
                <w:color w:val="000000"/>
                <w:spacing w:val="-10"/>
                <w:kern w:val="0"/>
                <w:szCs w:val="21"/>
                <w:lang w:val="zh-CN" w:bidi="zh-CN"/>
              </w:rPr>
              <w:t>级</w:t>
            </w: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hint="eastAsia" w:ascii="CESI宋体-GB2312" w:hAnsi="Cambria" w:eastAsia="CESI宋体-GB2312" w:cs="Cambria"/>
                <w:color w:val="000000"/>
                <w:spacing w:val="-20"/>
                <w:kern w:val="0"/>
                <w:szCs w:val="21"/>
                <w:lang w:val="zh-CN" w:bidi="zh-CN"/>
              </w:rPr>
              <w:t>II</w:t>
            </w:r>
            <w:r>
              <w:rPr>
                <w:rFonts w:hint="eastAsia" w:ascii="CESI宋体-GB2312" w:hAnsi="文泉驿正黑" w:eastAsia="CESI宋体-GB2312" w:cs="宋体"/>
                <w:b/>
                <w:bCs/>
                <w:color w:val="000000"/>
                <w:spacing w:val="-10"/>
                <w:kern w:val="0"/>
                <w:szCs w:val="21"/>
                <w:lang w:val="zh-CN" w:bidi="zh-CN"/>
              </w:rPr>
              <w:t>级</w:t>
            </w: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hint="eastAsia" w:ascii="CESI宋体-GB2312" w:hAnsi="Cambria" w:eastAsia="CESI宋体-GB2312" w:cs="Cambria"/>
                <w:color w:val="000000"/>
                <w:spacing w:val="-20"/>
                <w:kern w:val="0"/>
                <w:szCs w:val="21"/>
                <w:lang w:val="zh-CN" w:bidi="zh-CN"/>
              </w:rPr>
              <w:t>III</w:t>
            </w:r>
            <w:r>
              <w:rPr>
                <w:rFonts w:hint="eastAsia" w:ascii="CESI宋体-GB2312" w:hAnsi="文泉驿正黑" w:eastAsia="CESI宋体-GB2312" w:cs="宋体"/>
                <w:b/>
                <w:bCs/>
                <w:color w:val="000000"/>
                <w:spacing w:val="-10"/>
                <w:kern w:val="0"/>
                <w:szCs w:val="21"/>
                <w:lang w:val="zh-CN" w:bidi="zh-CN"/>
              </w:rPr>
              <w:t>级</w:t>
            </w: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hint="eastAsia" w:ascii="CESI宋体-GB2312" w:hAnsi="Cambria" w:eastAsia="CESI宋体-GB2312" w:cs="Cambria"/>
                <w:color w:val="000000"/>
                <w:spacing w:val="-20"/>
                <w:kern w:val="0"/>
                <w:szCs w:val="21"/>
                <w:lang w:val="zh-CN" w:bidi="zh-CN"/>
              </w:rPr>
              <w:t>IV</w:t>
            </w:r>
            <w:r>
              <w:rPr>
                <w:rFonts w:hint="eastAsia" w:ascii="CESI宋体-GB2312" w:hAnsi="文泉驿正黑" w:eastAsia="CESI宋体-GB2312" w:cs="宋体"/>
                <w:b/>
                <w:bCs/>
                <w:color w:val="000000"/>
                <w:spacing w:val="-10"/>
                <w:kern w:val="0"/>
                <w:szCs w:val="21"/>
                <w:lang w:val="zh-CN" w:bidi="zh-CN"/>
              </w:rPr>
              <w:t>级</w:t>
            </w: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hint="eastAsia" w:ascii="CESI宋体-GB2312" w:hAnsi="Cambria" w:eastAsia="CESI宋体-GB2312" w:cs="Cambria"/>
                <w:color w:val="000000"/>
                <w:spacing w:val="-20"/>
                <w:kern w:val="0"/>
                <w:szCs w:val="21"/>
                <w:lang w:val="zh-CN" w:bidi="zh-CN"/>
              </w:rPr>
              <w:t>V</w:t>
            </w:r>
            <w:r>
              <w:rPr>
                <w:rFonts w:hint="eastAsia" w:ascii="CESI宋体-GB2312" w:hAnsi="文泉驿正黑" w:eastAsia="CESI宋体-GB2312" w:cs="宋体"/>
                <w:b/>
                <w:bCs/>
                <w:color w:val="000000"/>
                <w:spacing w:val="-10"/>
                <w:kern w:val="0"/>
                <w:szCs w:val="21"/>
                <w:lang w:val="zh-CN" w:bidi="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78" w:type="dxa"/>
            <w:vMerge w:val="restart"/>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hint="eastAsia" w:ascii="CESI宋体-GB2312" w:hAnsi="文泉驿正黑" w:eastAsia="CESI宋体-GB2312" w:cs="宋体"/>
                <w:b/>
                <w:bCs/>
                <w:color w:val="000000"/>
                <w:spacing w:val="-10"/>
                <w:kern w:val="0"/>
                <w:szCs w:val="21"/>
                <w:lang w:val="zh-CN" w:bidi="zh-CN"/>
              </w:rPr>
              <w:t>商服用地</w:t>
            </w: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hint="eastAsia" w:ascii="CESI宋体-GB2312" w:hAnsi="文泉驿正黑" w:eastAsia="CESI宋体-GB2312" w:cs="宋体"/>
                <w:b/>
                <w:bCs/>
                <w:color w:val="000000"/>
                <w:spacing w:val="-10"/>
                <w:kern w:val="0"/>
                <w:szCs w:val="21"/>
                <w:lang w:val="zh-CN" w:bidi="zh-CN"/>
              </w:rPr>
              <w:t>元/平方米</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val="zh-CN" w:bidi="zh-CN"/>
              </w:rPr>
              <w:t>3155</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val="zh-CN" w:bidi="zh-CN"/>
              </w:rPr>
              <w:t>2140</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val="zh-CN" w:bidi="zh-CN"/>
              </w:rPr>
              <w:t>1555</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val="zh-CN" w:bidi="zh-CN"/>
              </w:rPr>
              <w:t>1050</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val="zh-CN" w:bidi="zh-CN"/>
              </w:rPr>
              <w:t>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78" w:type="dxa"/>
            <w:vMerge w:val="continue"/>
            <w:vAlign w:val="center"/>
          </w:tcPr>
          <w:p>
            <w:pPr>
              <w:jc w:val="left"/>
              <w:rPr>
                <w:rFonts w:ascii="Arial Unicode MS" w:hAnsi="Arial Unicode MS" w:eastAsia="Arial Unicode MS" w:cs="Arial Unicode MS"/>
                <w:color w:val="000000"/>
                <w:kern w:val="0"/>
                <w:sz w:val="24"/>
                <w:szCs w:val="24"/>
                <w:lang w:val="zh-CN" w:bidi="zh-CN"/>
              </w:rPr>
            </w:pP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hint="eastAsia" w:ascii="CESI宋体-GB2312" w:hAnsi="文泉驿正黑" w:eastAsia="CESI宋体-GB2312" w:cs="宋体"/>
                <w:b/>
                <w:bCs/>
                <w:color w:val="000000"/>
                <w:spacing w:val="-10"/>
                <w:kern w:val="0"/>
                <w:szCs w:val="21"/>
                <w:lang w:val="zh-CN" w:bidi="zh-CN"/>
              </w:rPr>
              <w:t>万元/亩</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eastAsia="en-US" w:bidi="en-US"/>
              </w:rPr>
              <w:t>210.33</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eastAsia="en-US" w:bidi="en-US"/>
              </w:rPr>
              <w:t>142.67</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eastAsia="en-US" w:bidi="en-US"/>
              </w:rPr>
              <w:t>103.67</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eastAsia="en-US" w:bidi="en-US"/>
              </w:rPr>
              <w:t>70.00</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eastAsia="en-US" w:bidi="en-US"/>
              </w:rPr>
              <w:t>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78" w:type="dxa"/>
            <w:vMerge w:val="restart"/>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hint="eastAsia" w:ascii="CESI宋体-GB2312" w:hAnsi="文泉驿正黑" w:eastAsia="CESI宋体-GB2312" w:cs="宋体"/>
                <w:b/>
                <w:bCs/>
                <w:color w:val="000000"/>
                <w:spacing w:val="-10"/>
                <w:kern w:val="0"/>
                <w:szCs w:val="21"/>
                <w:lang w:val="zh-CN" w:bidi="zh-CN"/>
              </w:rPr>
              <w:t>住宅用地</w:t>
            </w: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hint="eastAsia" w:ascii="CESI宋体-GB2312" w:hAnsi="文泉驿正黑" w:eastAsia="CESI宋体-GB2312" w:cs="宋体"/>
                <w:b/>
                <w:bCs/>
                <w:color w:val="000000"/>
                <w:spacing w:val="-10"/>
                <w:kern w:val="0"/>
                <w:szCs w:val="21"/>
                <w:lang w:val="zh-CN" w:bidi="zh-CN"/>
              </w:rPr>
              <w:t>元/平方米</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val="zh-CN" w:bidi="zh-CN"/>
              </w:rPr>
              <w:t>1850</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val="zh-CN" w:bidi="zh-CN"/>
              </w:rPr>
              <w:t>1515</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val="zh-CN" w:bidi="zh-CN"/>
              </w:rPr>
              <w:t>1040</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val="zh-CN" w:bidi="zh-CN"/>
              </w:rPr>
              <w:t>550</w:t>
            </w: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ascii="宋体" w:hAnsi="宋体" w:eastAsia="宋体" w:cs="宋体"/>
                <w:color w:val="000000"/>
                <w:kern w:val="0"/>
                <w:sz w:val="24"/>
                <w:szCs w:val="24"/>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78" w:type="dxa"/>
            <w:vMerge w:val="continue"/>
            <w:vAlign w:val="center"/>
          </w:tcPr>
          <w:p>
            <w:pPr>
              <w:jc w:val="left"/>
              <w:rPr>
                <w:rFonts w:ascii="Arial Unicode MS" w:hAnsi="Arial Unicode MS" w:eastAsia="Arial Unicode MS" w:cs="Arial Unicode MS"/>
                <w:color w:val="000000"/>
                <w:kern w:val="0"/>
                <w:sz w:val="24"/>
                <w:szCs w:val="24"/>
                <w:lang w:val="zh-CN" w:bidi="zh-CN"/>
              </w:rPr>
            </w:pP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hint="eastAsia" w:ascii="CESI宋体-GB2312" w:hAnsi="文泉驿正黑" w:eastAsia="CESI宋体-GB2312" w:cs="宋体"/>
                <w:b/>
                <w:bCs/>
                <w:color w:val="000000"/>
                <w:spacing w:val="-10"/>
                <w:kern w:val="0"/>
                <w:szCs w:val="21"/>
                <w:lang w:val="zh-CN" w:bidi="zh-CN"/>
              </w:rPr>
              <w:t>万元/亩</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eastAsia="en-US" w:bidi="en-US"/>
              </w:rPr>
              <w:t>123.33</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eastAsia="en-US" w:bidi="en-US"/>
              </w:rPr>
              <w:t>101.</w:t>
            </w:r>
            <w:r>
              <w:rPr>
                <w:rFonts w:ascii="宋体" w:hAnsi="宋体" w:eastAsia="宋体" w:cs="宋体"/>
                <w:color w:val="000000"/>
                <w:kern w:val="0"/>
                <w:sz w:val="24"/>
                <w:szCs w:val="24"/>
                <w:lang w:val="zh-CN" w:bidi="zh-CN"/>
              </w:rPr>
              <w:t>00</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eastAsia="en-US" w:bidi="en-US"/>
              </w:rPr>
              <w:t>69.33</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eastAsia="en-US" w:bidi="en-US"/>
              </w:rPr>
              <w:t>36.67</w:t>
            </w: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ascii="宋体" w:hAnsi="宋体" w:eastAsia="宋体" w:cs="宋体"/>
                <w:color w:val="000000"/>
                <w:kern w:val="0"/>
                <w:sz w:val="24"/>
                <w:szCs w:val="24"/>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78" w:type="dxa"/>
            <w:vMerge w:val="restart"/>
            <w:vAlign w:val="center"/>
          </w:tcPr>
          <w:p>
            <w:pPr>
              <w:spacing w:line="240" w:lineRule="exact"/>
              <w:jc w:val="center"/>
              <w:rPr>
                <w:rFonts w:hint="eastAsia" w:ascii="CESI宋体-GB2312" w:hAnsi="文泉驿正黑" w:eastAsia="CESI宋体-GB2312" w:cs="宋体"/>
                <w:color w:val="000000"/>
                <w:kern w:val="0"/>
                <w:szCs w:val="21"/>
                <w:lang w:val="zh-CN" w:bidi="zh-CN"/>
              </w:rPr>
            </w:pPr>
            <w:r>
              <w:rPr>
                <w:rFonts w:hint="eastAsia" w:ascii="CESI宋体-GB2312" w:hAnsi="文泉驿正黑" w:eastAsia="CESI宋体-GB2312" w:cs="宋体"/>
                <w:b/>
                <w:bCs/>
                <w:color w:val="000000"/>
                <w:spacing w:val="-10"/>
                <w:kern w:val="0"/>
                <w:szCs w:val="21"/>
                <w:lang w:val="zh-CN" w:bidi="zh-CN"/>
              </w:rPr>
              <w:t>公共管理与公共服务用地</w:t>
            </w: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hint="eastAsia" w:ascii="CESI宋体-GB2312" w:hAnsi="文泉驿正黑" w:eastAsia="CESI宋体-GB2312" w:cs="宋体"/>
                <w:b/>
                <w:bCs/>
                <w:color w:val="000000"/>
                <w:spacing w:val="-10"/>
                <w:kern w:val="0"/>
                <w:szCs w:val="21"/>
                <w:lang w:val="zh-CN" w:bidi="zh-CN"/>
              </w:rPr>
              <w:t>元/平方米</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val="zh-CN" w:bidi="zh-CN"/>
              </w:rPr>
              <w:t>1080</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val="zh-CN" w:bidi="zh-CN"/>
              </w:rPr>
              <w:t>765</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val="zh-CN" w:bidi="zh-CN"/>
              </w:rPr>
              <w:t>480</w:t>
            </w: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ascii="宋体" w:hAnsi="宋体" w:eastAsia="宋体" w:cs="宋体"/>
                <w:color w:val="000000"/>
                <w:kern w:val="0"/>
                <w:sz w:val="24"/>
                <w:szCs w:val="24"/>
                <w:lang w:val="zh-CN" w:bidi="zh-CN"/>
              </w:rPr>
              <w:t>--</w:t>
            </w: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ascii="宋体" w:hAnsi="宋体" w:eastAsia="宋体" w:cs="宋体"/>
                <w:color w:val="000000"/>
                <w:kern w:val="0"/>
                <w:sz w:val="24"/>
                <w:szCs w:val="24"/>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78" w:type="dxa"/>
            <w:vMerge w:val="continue"/>
            <w:vAlign w:val="center"/>
          </w:tcPr>
          <w:p>
            <w:pPr>
              <w:jc w:val="left"/>
              <w:rPr>
                <w:rFonts w:ascii="Arial Unicode MS" w:hAnsi="Arial Unicode MS" w:eastAsia="Arial Unicode MS" w:cs="Arial Unicode MS"/>
                <w:color w:val="000000"/>
                <w:kern w:val="0"/>
                <w:sz w:val="24"/>
                <w:szCs w:val="24"/>
                <w:lang w:val="zh-CN" w:bidi="zh-CN"/>
              </w:rPr>
            </w:pP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hint="eastAsia" w:ascii="CESI宋体-GB2312" w:hAnsi="文泉驿正黑" w:eastAsia="CESI宋体-GB2312" w:cs="宋体"/>
                <w:b/>
                <w:bCs/>
                <w:color w:val="000000"/>
                <w:spacing w:val="-10"/>
                <w:kern w:val="0"/>
                <w:szCs w:val="21"/>
                <w:lang w:val="zh-CN" w:bidi="zh-CN"/>
              </w:rPr>
              <w:t>万元/亩</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eastAsia="en-US" w:bidi="en-US"/>
              </w:rPr>
              <w:t>72.00</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eastAsia="en-US" w:bidi="en-US"/>
              </w:rPr>
              <w:t>51.00</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eastAsia="en-US" w:bidi="en-US"/>
              </w:rPr>
              <w:t>32.00</w:t>
            </w: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ascii="宋体" w:hAnsi="宋体" w:eastAsia="宋体" w:cs="宋体"/>
                <w:color w:val="000000"/>
                <w:kern w:val="0"/>
                <w:sz w:val="24"/>
                <w:szCs w:val="24"/>
                <w:lang w:val="zh-CN" w:bidi="zh-CN"/>
              </w:rPr>
              <w:t>--</w:t>
            </w: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ascii="宋体" w:hAnsi="宋体" w:eastAsia="宋体" w:cs="宋体"/>
                <w:color w:val="000000"/>
                <w:kern w:val="0"/>
                <w:sz w:val="24"/>
                <w:szCs w:val="24"/>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78" w:type="dxa"/>
            <w:vMerge w:val="restart"/>
            <w:vAlign w:val="center"/>
          </w:tcPr>
          <w:p>
            <w:pPr>
              <w:spacing w:line="240" w:lineRule="exact"/>
              <w:jc w:val="center"/>
              <w:rPr>
                <w:rFonts w:hint="eastAsia" w:ascii="CESI宋体-GB2312" w:hAnsi="文泉驿正黑" w:eastAsia="CESI宋体-GB2312" w:cs="宋体"/>
                <w:color w:val="000000"/>
                <w:kern w:val="0"/>
                <w:szCs w:val="21"/>
                <w:lang w:val="zh-CN" w:bidi="zh-CN"/>
              </w:rPr>
            </w:pPr>
            <w:r>
              <w:rPr>
                <w:rFonts w:hint="eastAsia" w:ascii="CESI宋体-GB2312" w:hAnsi="文泉驿正黑" w:eastAsia="CESI宋体-GB2312" w:cs="宋体"/>
                <w:b/>
                <w:bCs/>
                <w:color w:val="000000"/>
                <w:spacing w:val="-10"/>
                <w:kern w:val="0"/>
                <w:szCs w:val="21"/>
                <w:lang w:val="zh-CN" w:bidi="zh-CN"/>
              </w:rPr>
              <w:t>工业用地</w:t>
            </w: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hint="eastAsia" w:ascii="CESI宋体-GB2312" w:hAnsi="文泉驿正黑" w:eastAsia="CESI宋体-GB2312" w:cs="宋体"/>
                <w:b/>
                <w:bCs/>
                <w:color w:val="000000"/>
                <w:spacing w:val="-10"/>
                <w:kern w:val="0"/>
                <w:szCs w:val="21"/>
                <w:lang w:val="zh-CN" w:bidi="zh-CN"/>
              </w:rPr>
              <w:t>元/平方米</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val="zh-CN" w:bidi="zh-CN"/>
              </w:rPr>
              <w:t>300</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val="zh-CN" w:bidi="zh-CN"/>
              </w:rPr>
              <w:t>275</w:t>
            </w: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ascii="宋体" w:hAnsi="宋体" w:eastAsia="宋体" w:cs="宋体"/>
                <w:color w:val="000000"/>
                <w:kern w:val="0"/>
                <w:sz w:val="24"/>
                <w:szCs w:val="24"/>
                <w:lang w:val="zh-CN" w:bidi="zh-CN"/>
              </w:rPr>
              <w:t>--</w:t>
            </w: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ascii="宋体" w:hAnsi="宋体" w:eastAsia="宋体" w:cs="宋体"/>
                <w:color w:val="000000"/>
                <w:kern w:val="0"/>
                <w:sz w:val="24"/>
                <w:szCs w:val="24"/>
                <w:lang w:val="zh-CN" w:bidi="zh-CN"/>
              </w:rPr>
              <w:t>--</w:t>
            </w: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ascii="宋体" w:hAnsi="宋体" w:eastAsia="宋体" w:cs="宋体"/>
                <w:color w:val="000000"/>
                <w:kern w:val="0"/>
                <w:sz w:val="24"/>
                <w:szCs w:val="24"/>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78" w:type="dxa"/>
            <w:vMerge w:val="continue"/>
          </w:tcPr>
          <w:p>
            <w:pPr>
              <w:jc w:val="left"/>
              <w:rPr>
                <w:rFonts w:ascii="Arial Unicode MS" w:hAnsi="Arial Unicode MS" w:eastAsia="Arial Unicode MS" w:cs="Arial Unicode MS"/>
                <w:color w:val="000000"/>
                <w:kern w:val="0"/>
                <w:sz w:val="24"/>
                <w:szCs w:val="24"/>
                <w:lang w:val="zh-CN" w:bidi="zh-CN"/>
              </w:rPr>
            </w:pP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hint="eastAsia" w:ascii="CESI宋体-GB2312" w:hAnsi="文泉驿正黑" w:eastAsia="CESI宋体-GB2312" w:cs="宋体"/>
                <w:b/>
                <w:bCs/>
                <w:color w:val="000000"/>
                <w:spacing w:val="-10"/>
                <w:kern w:val="0"/>
                <w:szCs w:val="21"/>
                <w:lang w:val="zh-CN" w:bidi="zh-CN"/>
              </w:rPr>
              <w:t>万元/亩</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eastAsia="en-US" w:bidi="en-US"/>
              </w:rPr>
              <w:t>20.00</w:t>
            </w:r>
          </w:p>
        </w:tc>
        <w:tc>
          <w:tcPr>
            <w:tcW w:w="1178" w:type="dxa"/>
            <w:vAlign w:val="center"/>
          </w:tcPr>
          <w:p>
            <w:pPr>
              <w:spacing w:line="200" w:lineRule="exact"/>
              <w:jc w:val="center"/>
              <w:rPr>
                <w:rFonts w:ascii="宋体" w:hAnsi="文泉驿正黑" w:eastAsia="宋体" w:cs="宋体"/>
                <w:color w:val="000000"/>
                <w:kern w:val="0"/>
                <w:sz w:val="24"/>
                <w:szCs w:val="24"/>
                <w:lang w:val="zh-CN" w:bidi="zh-CN"/>
              </w:rPr>
            </w:pPr>
            <w:r>
              <w:rPr>
                <w:rFonts w:ascii="宋体" w:hAnsi="宋体" w:eastAsia="宋体" w:cs="宋体"/>
                <w:color w:val="000000"/>
                <w:kern w:val="0"/>
                <w:sz w:val="24"/>
                <w:szCs w:val="24"/>
                <w:lang w:eastAsia="en-US" w:bidi="en-US"/>
              </w:rPr>
              <w:t>18.33</w:t>
            </w: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ascii="宋体" w:hAnsi="宋体" w:eastAsia="宋体" w:cs="宋体"/>
                <w:color w:val="000000"/>
                <w:kern w:val="0"/>
                <w:sz w:val="24"/>
                <w:szCs w:val="24"/>
                <w:lang w:val="zh-CN" w:bidi="zh-CN"/>
              </w:rPr>
              <w:t>--</w:t>
            </w: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ascii="宋体" w:hAnsi="宋体" w:eastAsia="宋体" w:cs="宋体"/>
                <w:color w:val="000000"/>
                <w:kern w:val="0"/>
                <w:sz w:val="24"/>
                <w:szCs w:val="24"/>
                <w:lang w:val="zh-CN" w:bidi="zh-CN"/>
              </w:rPr>
              <w:t>--</w:t>
            </w:r>
          </w:p>
        </w:tc>
        <w:tc>
          <w:tcPr>
            <w:tcW w:w="1178" w:type="dxa"/>
            <w:vAlign w:val="center"/>
          </w:tcPr>
          <w:p>
            <w:pPr>
              <w:spacing w:line="460" w:lineRule="exact"/>
              <w:jc w:val="center"/>
              <w:rPr>
                <w:rFonts w:hint="eastAsia" w:ascii="CESI宋体-GB2312" w:hAnsi="文泉驿正黑" w:eastAsia="CESI宋体-GB2312" w:cs="宋体"/>
                <w:color w:val="000000"/>
                <w:kern w:val="0"/>
                <w:szCs w:val="21"/>
                <w:lang w:val="zh-CN" w:bidi="zh-CN"/>
              </w:rPr>
            </w:pPr>
            <w:r>
              <w:rPr>
                <w:rFonts w:ascii="宋体" w:hAnsi="宋体" w:eastAsia="宋体" w:cs="宋体"/>
                <w:color w:val="000000"/>
                <w:kern w:val="0"/>
                <w:sz w:val="24"/>
                <w:szCs w:val="24"/>
                <w:lang w:val="zh-CN" w:bidi="zh-CN"/>
              </w:rPr>
              <w:t>--</w:t>
            </w:r>
          </w:p>
        </w:tc>
      </w:tr>
    </w:tbl>
    <w:p>
      <w:pPr>
        <w:tabs>
          <w:tab w:val="left" w:pos="1190"/>
        </w:tabs>
        <w:spacing w:line="562" w:lineRule="exact"/>
        <w:ind w:left="760"/>
        <w:rPr>
          <w:rFonts w:hint="eastAsia" w:ascii="黑体" w:hAnsi="黑体" w:eastAsia="黑体" w:cs="宋体"/>
          <w:color w:val="000000"/>
          <w:kern w:val="0"/>
          <w:sz w:val="32"/>
          <w:szCs w:val="32"/>
          <w:lang w:val="zh-CN" w:bidi="zh-CN"/>
        </w:rPr>
      </w:pPr>
      <w:r>
        <w:rPr>
          <w:rFonts w:hint="eastAsia" w:ascii="黑体" w:hAnsi="黑体" w:eastAsia="黑体" w:cs="宋体"/>
          <w:color w:val="000000"/>
          <w:kern w:val="0"/>
          <w:sz w:val="32"/>
          <w:szCs w:val="32"/>
          <w:lang w:val="zh-CN" w:bidi="zh-CN"/>
        </w:rPr>
        <w:t>二、基准地价内涵</w:t>
      </w:r>
    </w:p>
    <w:p>
      <w:pPr>
        <w:tabs>
          <w:tab w:val="left" w:pos="1190"/>
        </w:tabs>
        <w:spacing w:line="562" w:lineRule="exact"/>
        <w:ind w:left="760"/>
        <w:rPr>
          <w:rFonts w:hint="eastAsia" w:ascii="仿宋_GB2312" w:hAnsi="文泉驿正黑" w:eastAsia="仿宋_GB2312" w:cs="宋体"/>
          <w:color w:val="000000"/>
          <w:kern w:val="0"/>
          <w:sz w:val="32"/>
          <w:szCs w:val="32"/>
          <w:lang w:val="zh-CN" w:bidi="zh-CN"/>
        </w:rPr>
      </w:pPr>
      <w:r>
        <w:rPr>
          <w:rFonts w:hint="eastAsia" w:ascii="仿宋_GB2312" w:hAnsi="文泉驿正黑" w:eastAsia="仿宋_GB2312" w:cs="宋体"/>
          <w:color w:val="000000"/>
          <w:kern w:val="0"/>
          <w:sz w:val="32"/>
          <w:szCs w:val="32"/>
          <w:lang w:val="zh-CN" w:bidi="zh-CN"/>
        </w:rPr>
        <w:t>1.</w:t>
      </w:r>
      <w:r>
        <w:rPr>
          <w:rFonts w:hint="eastAsia" w:ascii="仿宋_GB2312" w:hAnsi="文泉驿正黑" w:eastAsia="仿宋_GB2312" w:cs="宋体"/>
          <w:color w:val="000000"/>
          <w:kern w:val="0"/>
          <w:sz w:val="32"/>
          <w:szCs w:val="32"/>
          <w:lang w:val="zh-CN" w:bidi="zh-CN"/>
        </w:rPr>
        <w:tab/>
      </w:r>
      <w:r>
        <w:rPr>
          <w:rFonts w:hint="eastAsia" w:ascii="仿宋_GB2312" w:hAnsi="文泉驿正黑" w:eastAsia="仿宋_GB2312" w:cs="宋体"/>
          <w:color w:val="000000"/>
          <w:kern w:val="0"/>
          <w:sz w:val="32"/>
          <w:szCs w:val="32"/>
          <w:lang w:val="zh-CN" w:bidi="zh-CN"/>
        </w:rPr>
        <w:t>估价期日：2021年1月1日；</w:t>
      </w:r>
    </w:p>
    <w:p>
      <w:pPr>
        <w:tabs>
          <w:tab w:val="left" w:pos="1155"/>
        </w:tabs>
        <w:spacing w:line="562" w:lineRule="exact"/>
        <w:ind w:firstLine="760"/>
        <w:jc w:val="left"/>
        <w:rPr>
          <w:rFonts w:hint="eastAsia" w:ascii="仿宋_GB2312" w:hAnsi="文泉驿正黑" w:eastAsia="仿宋_GB2312" w:cs="宋体"/>
          <w:color w:val="000000"/>
          <w:kern w:val="0"/>
          <w:sz w:val="32"/>
          <w:szCs w:val="32"/>
          <w:lang w:val="zh-CN" w:bidi="zh-CN"/>
        </w:rPr>
      </w:pPr>
      <w:r>
        <w:rPr>
          <w:rFonts w:hint="eastAsia" w:ascii="仿宋_GB2312" w:hAnsi="文泉驿正黑" w:eastAsia="仿宋_GB2312" w:cs="宋体"/>
          <w:color w:val="000000"/>
          <w:kern w:val="0"/>
          <w:sz w:val="32"/>
          <w:szCs w:val="32"/>
          <w:lang w:val="zh-CN" w:bidi="zh-CN"/>
        </w:rPr>
        <w:t>2.土地使用年期：商服用地40年、住宅用地70年、工业用地50年；公共管理与公共服务用地50年；</w:t>
      </w:r>
    </w:p>
    <w:p>
      <w:pPr>
        <w:tabs>
          <w:tab w:val="left" w:pos="1155"/>
        </w:tabs>
        <w:spacing w:line="562" w:lineRule="exact"/>
        <w:ind w:firstLine="760"/>
        <w:jc w:val="left"/>
        <w:rPr>
          <w:rFonts w:hint="eastAsia" w:ascii="仿宋_GB2312" w:hAnsi="文泉驿正黑" w:eastAsia="仿宋_GB2312" w:cs="宋体"/>
          <w:color w:val="000000"/>
          <w:kern w:val="0"/>
          <w:sz w:val="32"/>
          <w:szCs w:val="32"/>
          <w:lang w:val="zh-CN" w:bidi="zh-CN"/>
        </w:rPr>
      </w:pPr>
      <w:r>
        <w:rPr>
          <w:rFonts w:hint="eastAsia" w:ascii="仿宋_GB2312" w:hAnsi="文泉驿正黑" w:eastAsia="仿宋_GB2312" w:cs="宋体"/>
          <w:color w:val="000000"/>
          <w:kern w:val="0"/>
          <w:sz w:val="32"/>
          <w:szCs w:val="32"/>
          <w:lang w:val="zh-CN" w:bidi="zh-CN"/>
        </w:rPr>
        <w:t>3.容积率：商服用地1.8、住宅用地2.5、工业用地1.0、公共管理与公共服务用地1.2;</w:t>
      </w:r>
    </w:p>
    <w:p>
      <w:pPr>
        <w:tabs>
          <w:tab w:val="left" w:pos="1155"/>
        </w:tabs>
        <w:spacing w:line="562" w:lineRule="exact"/>
        <w:ind w:firstLine="760"/>
        <w:jc w:val="left"/>
        <w:rPr>
          <w:rFonts w:hint="eastAsia" w:ascii="仿宋_GB2312" w:hAnsi="文泉驿正黑" w:eastAsia="仿宋_GB2312" w:cs="宋体"/>
          <w:color w:val="000000"/>
          <w:kern w:val="0"/>
          <w:sz w:val="32"/>
          <w:szCs w:val="32"/>
          <w:lang w:val="zh-CN" w:bidi="zh-CN"/>
        </w:rPr>
      </w:pPr>
      <w:r>
        <w:rPr>
          <w:rFonts w:hint="eastAsia" w:ascii="仿宋_GB2312" w:hAnsi="文泉驿正黑" w:eastAsia="仿宋_GB2312" w:cs="宋体"/>
          <w:color w:val="000000"/>
          <w:kern w:val="0"/>
          <w:sz w:val="32"/>
          <w:szCs w:val="32"/>
          <w:lang w:val="zh-CN" w:bidi="zh-CN"/>
        </w:rPr>
        <w:t>4.开发程度：宗地外“六通</w:t>
      </w:r>
      <w:r>
        <w:rPr>
          <w:rFonts w:hint="eastAsia" w:ascii="仿宋_GB2312" w:hAnsi="文泉驿正黑" w:eastAsia="仿宋_GB2312" w:cs="宋体"/>
          <w:color w:val="000000"/>
          <w:kern w:val="0"/>
          <w:sz w:val="32"/>
          <w:szCs w:val="32"/>
          <w:lang w:bidi="en-US"/>
        </w:rPr>
        <w:t>”（</w:t>
      </w:r>
      <w:r>
        <w:rPr>
          <w:rFonts w:hint="eastAsia" w:ascii="仿宋_GB2312" w:hAnsi="文泉驿正黑" w:eastAsia="仿宋_GB2312" w:cs="宋体"/>
          <w:color w:val="000000"/>
          <w:kern w:val="0"/>
          <w:sz w:val="32"/>
          <w:szCs w:val="32"/>
          <w:lang w:val="zh-CN" w:bidi="zh-CN"/>
        </w:rPr>
        <w:t>通上水、通下水、通电、通路、通讯、通气）、宗地内“场平”；</w:t>
      </w:r>
    </w:p>
    <w:p>
      <w:pPr>
        <w:tabs>
          <w:tab w:val="left" w:pos="1155"/>
        </w:tabs>
        <w:spacing w:line="562" w:lineRule="exact"/>
        <w:ind w:firstLine="760"/>
        <w:jc w:val="left"/>
        <w:rPr>
          <w:rFonts w:hint="eastAsia" w:ascii="仿宋_GB2312" w:hAnsi="文泉驿正黑" w:eastAsia="仿宋_GB2312" w:cs="宋体"/>
          <w:color w:val="000000"/>
          <w:kern w:val="0"/>
          <w:sz w:val="32"/>
          <w:szCs w:val="32"/>
          <w:lang w:val="zh-CN" w:bidi="zh-CN"/>
        </w:rPr>
      </w:pPr>
      <w:r>
        <w:rPr>
          <w:rFonts w:hint="eastAsia" w:ascii="仿宋_GB2312" w:hAnsi="文泉驿正黑" w:eastAsia="仿宋_GB2312" w:cs="宋体"/>
          <w:color w:val="000000"/>
          <w:kern w:val="0"/>
          <w:sz w:val="32"/>
          <w:szCs w:val="32"/>
          <w:lang w:val="zh-CN" w:bidi="zh-CN"/>
        </w:rPr>
        <w:t>5.</w:t>
      </w:r>
      <w:r>
        <w:rPr>
          <w:rFonts w:hint="eastAsia" w:ascii="仿宋_GB2312" w:hAnsi="文泉驿正黑" w:eastAsia="仿宋_GB2312" w:cs="宋体"/>
          <w:color w:val="000000"/>
          <w:kern w:val="0"/>
          <w:sz w:val="32"/>
          <w:szCs w:val="32"/>
          <w:lang w:val="zh-CN" w:bidi="zh-CN"/>
        </w:rPr>
        <w:tab/>
      </w:r>
      <w:r>
        <w:rPr>
          <w:rFonts w:hint="eastAsia" w:ascii="仿宋_GB2312" w:hAnsi="文泉驿正黑" w:eastAsia="仿宋_GB2312" w:cs="宋体"/>
          <w:color w:val="000000"/>
          <w:kern w:val="0"/>
          <w:sz w:val="32"/>
          <w:szCs w:val="32"/>
          <w:lang w:val="zh-CN" w:bidi="zh-CN"/>
        </w:rPr>
        <w:t>权利状况：出让土地，无他项权利限制下的国有土地使用权价格。</w:t>
      </w:r>
    </w:p>
    <w:p>
      <w:pPr>
        <w:keepNext/>
        <w:keepLines/>
        <w:spacing w:line="460" w:lineRule="exact"/>
        <w:ind w:left="254" w:leftChars="121"/>
        <w:jc w:val="left"/>
        <w:outlineLvl w:val="0"/>
        <w:rPr>
          <w:rFonts w:hint="eastAsia" w:ascii="CESI宋体-GB2312" w:hAnsi="文泉驿正黑" w:eastAsia="CESI宋体-GB2312" w:cs="宋体"/>
          <w:color w:val="000000"/>
          <w:kern w:val="0"/>
          <w:sz w:val="24"/>
          <w:szCs w:val="24"/>
          <w:lang w:val="zh-CN" w:bidi="zh-CN"/>
        </w:rPr>
      </w:pPr>
      <w:bookmarkStart w:id="1" w:name="bookmark0"/>
      <w:r>
        <w:rPr>
          <w:rFonts w:hint="eastAsia" w:ascii="CESI宋体-GB2312" w:hAnsi="文泉驿正黑" w:eastAsia="CESI宋体-GB2312" w:cs="宋体"/>
          <w:b/>
          <w:bCs/>
          <w:color w:val="000000"/>
          <w:kern w:val="0"/>
          <w:sz w:val="28"/>
          <w:szCs w:val="28"/>
          <w:lang w:val="zh-CN" w:bidi="zh-CN"/>
        </w:rPr>
        <w:t>备注：</w:t>
      </w:r>
      <w:bookmarkEnd w:id="1"/>
      <w:r>
        <w:rPr>
          <w:rFonts w:hint="eastAsia" w:ascii="CESI宋体-GB2312" w:hAnsi="文泉驿正黑" w:eastAsia="CESI宋体-GB2312" w:cs="宋体"/>
          <w:color w:val="000000"/>
          <w:kern w:val="0"/>
          <w:sz w:val="24"/>
          <w:szCs w:val="24"/>
          <w:lang w:val="zh-CN" w:bidi="zh-CN"/>
        </w:rPr>
        <w:t>1.本次工业限制区范围内无工业样点，其工业用地基准地价参照业</w:t>
      </w:r>
      <w:r>
        <w:rPr>
          <w:rFonts w:hint="eastAsia" w:ascii="CESI宋体-GB2312" w:hAnsi="Tahoma" w:eastAsia="CESI宋体-GB2312" w:cs="Tahoma"/>
          <w:color w:val="000000"/>
          <w:spacing w:val="-10"/>
          <w:kern w:val="0"/>
          <w:sz w:val="24"/>
          <w:szCs w:val="24"/>
          <w:lang w:val="zh-CN" w:bidi="zh-CN"/>
        </w:rPr>
        <w:t>I</w:t>
      </w:r>
      <w:r>
        <w:rPr>
          <w:rFonts w:hint="eastAsia" w:ascii="CESI宋体-GB2312" w:hAnsi="文泉驿正黑" w:eastAsia="CESI宋体-GB2312" w:cs="宋体"/>
          <w:color w:val="000000"/>
          <w:kern w:val="0"/>
          <w:sz w:val="24"/>
          <w:szCs w:val="24"/>
          <w:lang w:val="zh-CN" w:bidi="zh-CN"/>
        </w:rPr>
        <w:t>级地价水平执行。</w:t>
      </w:r>
    </w:p>
    <w:p>
      <w:pPr>
        <w:tabs>
          <w:tab w:val="left" w:pos="778"/>
        </w:tabs>
        <w:spacing w:line="460" w:lineRule="exact"/>
        <w:ind w:firstLine="960" w:firstLineChars="400"/>
        <w:rPr>
          <w:rFonts w:hint="eastAsia" w:ascii="CESI宋体-GB2312" w:hAnsi="文泉驿正黑" w:eastAsia="CESI宋体-GB2312" w:cs="宋体"/>
          <w:color w:val="000000"/>
          <w:kern w:val="0"/>
          <w:sz w:val="24"/>
          <w:szCs w:val="24"/>
          <w:lang w:val="zh-CN" w:bidi="zh-CN"/>
        </w:rPr>
      </w:pPr>
      <w:r>
        <w:rPr>
          <w:rFonts w:hint="eastAsia" w:ascii="CESI宋体-GB2312" w:hAnsi="文泉驿正黑" w:eastAsia="CESI宋体-GB2312" w:cs="宋体"/>
          <w:color w:val="000000"/>
          <w:kern w:val="0"/>
          <w:sz w:val="24"/>
          <w:szCs w:val="24"/>
          <w:lang w:val="zh-CN" w:bidi="zh-CN"/>
        </w:rPr>
        <w:t>2.南江县地处盆周山区低山丘陵区，整个县城位于南江河两岸狭长地带，四面环山，并且城市地质条件差，城市建设用地紧张。由于特殊的地形地貌条件的影响，具体宗地后期的地质灾害治理和房屋开发依据宗地内实际地形状况而定，政府很难在土地供应前就将土地整理成平地，参照巴中市类似地形地貌的城市，将净地定义为宗地内</w:t>
      </w:r>
      <w:bookmarkStart w:id="2" w:name="_GoBack"/>
      <w:bookmarkEnd w:id="2"/>
      <w:r>
        <w:rPr>
          <w:rFonts w:hint="eastAsia" w:ascii="CESI宋体-GB2312" w:hAnsi="文泉驿正黑" w:eastAsia="CESI宋体-GB2312" w:cs="宋体"/>
          <w:color w:val="000000"/>
          <w:kern w:val="0"/>
          <w:sz w:val="24"/>
          <w:szCs w:val="24"/>
          <w:lang w:val="zh-CN" w:bidi="zh-CN"/>
        </w:rPr>
        <w:t>已完成土地征收或收回补偿。根据南江县政府土地管理的需要，本次确定南江县城区基准地价宗地内“场平”，是指宗地内已完成土地征收或收回补偿。</w:t>
      </w:r>
    </w:p>
    <w:p>
      <w:pPr>
        <w:tabs>
          <w:tab w:val="left" w:pos="778"/>
        </w:tabs>
        <w:spacing w:line="460" w:lineRule="exact"/>
        <w:ind w:firstLine="480" w:firstLineChars="200"/>
        <w:rPr>
          <w:rFonts w:ascii="宋体" w:hAnsi="文泉驿正黑" w:eastAsia="宋体" w:cs="宋体"/>
          <w:color w:val="000000"/>
          <w:kern w:val="0"/>
          <w:sz w:val="24"/>
          <w:szCs w:val="24"/>
          <w:lang w:val="zh-CN" w:bidi="zh-CN"/>
        </w:rPr>
      </w:pPr>
      <w:r>
        <w:rPr>
          <w:rFonts w:hint="eastAsia" w:ascii="CESI宋体-GB2312" w:hAnsi="文泉驿正黑" w:eastAsia="CESI宋体-GB2312" w:cs="宋体"/>
          <w:color w:val="000000"/>
          <w:kern w:val="0"/>
          <w:sz w:val="24"/>
          <w:szCs w:val="24"/>
          <w:lang w:val="zh-CN" w:bidi="zh-CN"/>
        </w:rPr>
        <w:t>3.根据《关于扩大国有土地有偿使用范围的意见》（国土资规[2016]20号），扩大国有建设用地有偿使用范围中提及公共服务项目用地包括能源、环境保护、保障性安居工程、养老、教育、体育及供水、燃气供应、供热设施等项目。以上项目一一对应《土地利用现状分类》</w:t>
      </w:r>
      <w:r>
        <w:rPr>
          <w:rFonts w:hint="eastAsia" w:ascii="CESI宋体-GB2312" w:hAnsi="文泉驿正黑" w:eastAsia="CESI宋体-GB2312" w:cs="宋体"/>
          <w:color w:val="000000"/>
          <w:kern w:val="0"/>
          <w:sz w:val="24"/>
          <w:szCs w:val="24"/>
          <w:lang w:bidi="en-US"/>
        </w:rPr>
        <w:t>（</w:t>
      </w:r>
      <w:r>
        <w:rPr>
          <w:rFonts w:hint="eastAsia" w:ascii="CESI宋体-GB2312" w:hAnsi="Tahoma" w:eastAsia="CESI宋体-GB2312" w:cs="Tahoma"/>
          <w:color w:val="000000"/>
          <w:spacing w:val="-10"/>
          <w:kern w:val="0"/>
          <w:sz w:val="24"/>
          <w:szCs w:val="24"/>
          <w:lang w:val="zh-CN" w:bidi="zh-CN"/>
        </w:rPr>
        <w:t>GB/T</w:t>
      </w:r>
      <w:r>
        <w:rPr>
          <w:rFonts w:hint="eastAsia" w:ascii="CESI宋体-GB2312" w:hAnsi="文泉驿正黑" w:eastAsia="CESI宋体-GB2312" w:cs="宋体"/>
          <w:color w:val="000000"/>
          <w:kern w:val="0"/>
          <w:sz w:val="24"/>
          <w:szCs w:val="24"/>
          <w:lang w:bidi="en-US"/>
        </w:rPr>
        <w:t xml:space="preserve"> 21010-2017)</w:t>
      </w:r>
      <w:r>
        <w:rPr>
          <w:rFonts w:hint="eastAsia" w:ascii="CESI宋体-GB2312" w:hAnsi="文泉驿正黑" w:eastAsia="CESI宋体-GB2312" w:cs="宋体"/>
          <w:color w:val="000000"/>
          <w:kern w:val="0"/>
          <w:sz w:val="24"/>
          <w:szCs w:val="24"/>
          <w:lang w:val="zh-CN" w:bidi="zh-CN"/>
        </w:rPr>
        <w:t>中土地分类，除保障性安居工程项目用地属城镇住宅用 地外，其余项目用地对应土地用途均属公共管理与公共服务用地</w:t>
      </w:r>
      <w:r>
        <w:rPr>
          <w:rFonts w:hint="eastAsia" w:ascii="CESI宋体-GB2312" w:hAnsi="文泉驿正黑" w:eastAsia="CESI宋体-GB2312" w:cs="宋体"/>
          <w:color w:val="000000"/>
          <w:kern w:val="0"/>
          <w:sz w:val="24"/>
          <w:szCs w:val="24"/>
          <w:lang w:bidi="en-US"/>
        </w:rPr>
        <w:t>（</w:t>
      </w:r>
      <w:r>
        <w:rPr>
          <w:rFonts w:hint="eastAsia" w:ascii="CESI宋体-GB2312" w:hAnsi="文泉驿正黑" w:eastAsia="CESI宋体-GB2312" w:cs="宋体"/>
          <w:color w:val="000000"/>
          <w:kern w:val="0"/>
          <w:sz w:val="24"/>
          <w:szCs w:val="24"/>
          <w:lang w:val="zh-CN" w:bidi="zh-CN"/>
        </w:rPr>
        <w:t>一级类），对应二级类用途分别为公用设施用地、社会福利用地、教育用地、文化设施用地、体育用地。因此，本次公共管理与公共设施用地包括公用设施用地、社会福利用地、教育用地、文化设施用地、体育用地等，不包括机关团体用地。</w:t>
      </w:r>
    </w:p>
    <w:p>
      <w:pPr>
        <w:spacing w:line="460" w:lineRule="exact"/>
        <w:ind w:left="1680" w:hanging="240"/>
        <w:jc w:val="left"/>
        <w:rPr>
          <w:rFonts w:ascii="Arial Unicode MS" w:hAnsi="Arial Unicode MS" w:eastAsia="Arial Unicode MS" w:cs="Arial Unicode MS"/>
          <w:color w:val="000000"/>
          <w:kern w:val="0"/>
          <w:sz w:val="24"/>
          <w:szCs w:val="24"/>
          <w:lang w:val="zh-CN" w:bidi="zh-CN"/>
        </w:rPr>
      </w:pPr>
    </w:p>
    <w:p/>
    <w:sectPr>
      <w:footerReference r:id="rId3" w:type="default"/>
      <w:pgSz w:w="11907" w:h="16839"/>
      <w:pgMar w:top="1985" w:right="1531" w:bottom="2098"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泉驿正黑">
    <w:altName w:val="黑体"/>
    <w:panose1 w:val="00000000000000000000"/>
    <w:charset w:val="86"/>
    <w:family w:val="script"/>
    <w:pitch w:val="default"/>
    <w:sig w:usb0="00000000" w:usb1="00000000" w:usb2="00000036" w:usb3="00000000" w:csb0="603E000D" w:csb1="D2D7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CESI宋体-GB2312">
    <w:altName w:val="微软雅黑"/>
    <w:panose1 w:val="00000000000000000000"/>
    <w:charset w:val="86"/>
    <w:family w:val="script"/>
    <w:pitch w:val="default"/>
    <w:sig w:usb0="00000000" w:usb1="00000000" w:usb2="00000010" w:usb3="00000000" w:csb0="0004000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mc:AlternateContent>
        <mc:Choice Requires="wps">
          <w:drawing>
            <wp:anchor distT="0" distB="0" distL="62865" distR="62865" simplePos="0" relativeHeight="251659264" behindDoc="1" locked="0" layoutInCell="1" allowOverlap="1">
              <wp:simplePos x="0" y="0"/>
              <wp:positionH relativeFrom="page">
                <wp:posOffset>3734435</wp:posOffset>
              </wp:positionH>
              <wp:positionV relativeFrom="page">
                <wp:posOffset>10243820</wp:posOffset>
              </wp:positionV>
              <wp:extent cx="55880" cy="122555"/>
              <wp:effectExtent l="635" t="4445" r="1270" b="12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880" cy="122555"/>
                      </a:xfrm>
                      <a:prstGeom prst="rect">
                        <a:avLst/>
                      </a:prstGeom>
                      <a:noFill/>
                      <a:ln>
                        <a:noFill/>
                      </a:ln>
                      <a:effectLst/>
                    </wps:spPr>
                    <wps:txbx>
                      <w:txbxContent>
                        <w:p>
                          <w:pPr>
                            <w:pStyle w:val="10"/>
                            <w:shd w:val="clear" w:color="auto" w:fill="auto"/>
                            <w:spacing w:line="240" w:lineRule="auto"/>
                          </w:pPr>
                          <w:r>
                            <w:fldChar w:fldCharType="begin"/>
                          </w:r>
                          <w:r>
                            <w:instrText xml:space="preserve"> PAGE \* MERGEFORMAT </w:instrText>
                          </w:r>
                          <w:r>
                            <w:fldChar w:fldCharType="separate"/>
                          </w:r>
                          <w:r>
                            <w:rPr>
                              <w:rStyle w:val="11"/>
                            </w:rP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94.05pt;margin-top:806.6pt;height:9.65pt;width:4.4pt;mso-position-horizontal-relative:page;mso-position-vertical-relative:page;mso-wrap-style:none;z-index:-251657216;mso-width-relative:page;mso-height-relative:page;" filled="f" stroked="f" coordsize="21600,21600" o:gfxdata="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AZ0i2AAAAA0BAAAPAAAAAAAAAAEAIAAA&#10;ACIAAABkcnMvZG93bnJldi54bWxQSwECFAAUAAAACACHTuJA1C2TMQwCAAAPBAAADgAAAAAAAAAB&#10;ACAAAAAnAQAAZHJzL2Uyb0RvYy54bWxQSwUGAAAAAAYABgBZAQAApQUAAAAA&#10;">
              <v:fill on="f" focussize="0,0"/>
              <v:stroke on="f"/>
              <v:imagedata o:title=""/>
              <o:lock v:ext="edit" aspectratio="f"/>
              <v:textbox inset="0mm,0mm,0mm,0mm" style="mso-fit-shape-to-text:t;">
                <w:txbxContent>
                  <w:p>
                    <w:pPr>
                      <w:pStyle w:val="10"/>
                      <w:shd w:val="clear" w:color="auto" w:fill="auto"/>
                      <w:spacing w:line="240" w:lineRule="auto"/>
                    </w:pPr>
                    <w:r>
                      <w:fldChar w:fldCharType="begin"/>
                    </w:r>
                    <w:r>
                      <w:instrText xml:space="preserve"> PAGE \* MERGEFORMAT </w:instrText>
                    </w:r>
                    <w:r>
                      <w:fldChar w:fldCharType="separate"/>
                    </w:r>
                    <w:r>
                      <w:rPr>
                        <w:rStyle w:val="11"/>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0A1"/>
    <w:rsid w:val="006C20A1"/>
    <w:rsid w:val="008E6422"/>
    <w:rsid w:val="0092656E"/>
    <w:rsid w:val="009F7499"/>
    <w:rsid w:val="16AB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unhideWhenUsed/>
    <w:uiPriority w:val="39"/>
  </w:style>
  <w:style w:type="paragraph" w:styleId="5">
    <w:name w:val="table of figures"/>
    <w:basedOn w:val="1"/>
    <w:next w:val="1"/>
    <w:semiHidden/>
    <w:unhideWhenUsed/>
    <w:uiPriority w:val="99"/>
    <w:pPr>
      <w:ind w:leftChars="200" w:hanging="200" w:hangingChars="200"/>
    </w:pPr>
  </w:style>
  <w:style w:type="character" w:customStyle="1" w:styleId="8">
    <w:name w:val="页眉 Char"/>
    <w:basedOn w:val="7"/>
    <w:link w:val="3"/>
    <w:uiPriority w:val="99"/>
    <w:rPr>
      <w:sz w:val="18"/>
      <w:szCs w:val="18"/>
    </w:rPr>
  </w:style>
  <w:style w:type="character" w:customStyle="1" w:styleId="9">
    <w:name w:val="页脚 Char"/>
    <w:basedOn w:val="7"/>
    <w:link w:val="2"/>
    <w:uiPriority w:val="99"/>
    <w:rPr>
      <w:sz w:val="18"/>
      <w:szCs w:val="18"/>
    </w:rPr>
  </w:style>
  <w:style w:type="paragraph" w:customStyle="1" w:styleId="10">
    <w:name w:val="页眉或页脚"/>
    <w:next w:val="4"/>
    <w:uiPriority w:val="0"/>
    <w:pPr>
      <w:widowControl w:val="0"/>
      <w:shd w:val="clear" w:color="auto" w:fill="FFFFFF"/>
      <w:spacing w:line="0" w:lineRule="atLeast"/>
    </w:pPr>
    <w:rPr>
      <w:rFonts w:ascii="宋体" w:hAnsi="文泉驿正黑" w:eastAsia="宋体" w:cs="宋体"/>
      <w:color w:val="000000"/>
      <w:kern w:val="0"/>
      <w:sz w:val="19"/>
      <w:szCs w:val="19"/>
      <w:lang w:val="zh-CN" w:eastAsia="zh-CN" w:bidi="zh-CN"/>
    </w:rPr>
  </w:style>
  <w:style w:type="character" w:customStyle="1" w:styleId="11">
    <w:name w:val="页眉或页脚 + Tahoma"/>
    <w:uiPriority w:val="0"/>
    <w:rPr>
      <w:rFonts w:ascii="Tahoma" w:hAnsi="Tahoma" w:eastAsia="Tahoma" w:cs="Tahoma"/>
      <w:color w:val="000000"/>
      <w:spacing w:val="0"/>
      <w:w w:val="100"/>
      <w:position w:val="0"/>
      <w:sz w:val="16"/>
      <w:szCs w:val="16"/>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166</Words>
  <Characters>950</Characters>
  <Lines>7</Lines>
  <Paragraphs>2</Paragraphs>
  <TotalTime>1</TotalTime>
  <ScaleCrop>false</ScaleCrop>
  <LinksUpToDate>false</LinksUpToDate>
  <CharactersWithSpaces>1114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2022-08-22T03:04:00Z</dcterms:created>
  <dc:creator>办公室:李兵</dc:creator>
  <cp:lastModifiedBy>Administrator</cp:lastModifiedBy>
  <dcterms:modified xsi:type="dcterms:W3CDTF">2022-10-27T07:06:38Z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