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02" w:rsidRPr="00E04802" w:rsidRDefault="00E04802" w:rsidP="00E04802">
      <w:pPr>
        <w:keepNext/>
        <w:keepLines/>
        <w:spacing w:line="700" w:lineRule="exact"/>
        <w:jc w:val="center"/>
        <w:outlineLvl w:val="1"/>
        <w:rPr>
          <w:rFonts w:ascii="方正小标宋简体" w:eastAsia="方正小标宋简体" w:hAnsi="文泉驿正黑" w:cs="SimSun" w:hint="eastAsia"/>
          <w:color w:val="000000"/>
          <w:kern w:val="0"/>
          <w:sz w:val="44"/>
          <w:szCs w:val="44"/>
          <w:lang w:val="zh-CN" w:bidi="zh-CN"/>
        </w:rPr>
      </w:pPr>
      <w:bookmarkStart w:id="0" w:name="bookmark2"/>
      <w:bookmarkStart w:id="1" w:name="_GoBack"/>
      <w:r w:rsidRPr="00E04802">
        <w:rPr>
          <w:rFonts w:ascii="方正小标宋简体" w:eastAsia="方正小标宋简体" w:hAnsi="文泉驿正黑" w:cs="SimSun" w:hint="eastAsia"/>
          <w:color w:val="000000"/>
          <w:kern w:val="0"/>
          <w:sz w:val="44"/>
          <w:szCs w:val="44"/>
          <w:lang w:val="zh-CN" w:bidi="zh-CN"/>
        </w:rPr>
        <w:t>通江县城区基准地价及地价定义</w:t>
      </w:r>
      <w:bookmarkEnd w:id="0"/>
    </w:p>
    <w:bookmarkEnd w:id="1"/>
    <w:p w:rsidR="00E04802" w:rsidRPr="00E04802" w:rsidRDefault="00E04802" w:rsidP="00E04802">
      <w:pPr>
        <w:spacing w:line="550" w:lineRule="exact"/>
        <w:jc w:val="left"/>
        <w:rPr>
          <w:rFonts w:ascii="方正黑体_GBK" w:eastAsia="方正黑体_GBK" w:hAnsi="文泉驿正黑" w:cs="SimSun" w:hint="eastAsia"/>
          <w:color w:val="000000"/>
          <w:kern w:val="0"/>
          <w:sz w:val="32"/>
          <w:szCs w:val="32"/>
          <w:lang w:val="zh-CN" w:bidi="zh-CN"/>
        </w:rPr>
      </w:pPr>
    </w:p>
    <w:p w:rsidR="00E04802" w:rsidRPr="00E04802" w:rsidRDefault="00E04802" w:rsidP="00E04802">
      <w:pPr>
        <w:spacing w:line="550" w:lineRule="exact"/>
        <w:jc w:val="left"/>
        <w:rPr>
          <w:rFonts w:ascii="方正黑体_GBK" w:eastAsia="方正黑体_GBK" w:hAnsi="文泉驿正黑" w:cs="SimSun" w:hint="eastAsia"/>
          <w:color w:val="000000"/>
          <w:kern w:val="0"/>
          <w:sz w:val="32"/>
          <w:szCs w:val="32"/>
          <w:lang w:val="zh-CN" w:bidi="zh-CN"/>
        </w:rPr>
      </w:pPr>
      <w:r w:rsidRPr="00E04802">
        <w:rPr>
          <w:rFonts w:ascii="方正黑体_GBK" w:eastAsia="方正黑体_GBK" w:hAnsi="文泉驿正黑" w:cs="SimSun" w:hint="eastAsia"/>
          <w:color w:val="000000"/>
          <w:kern w:val="0"/>
          <w:sz w:val="32"/>
          <w:szCs w:val="32"/>
          <w:lang w:val="zh-CN" w:bidi="zh-CN"/>
        </w:rPr>
        <w:t>一、通江县城区基准地价结果一览表</w:t>
      </w:r>
    </w:p>
    <w:tbl>
      <w:tblPr>
        <w:tblW w:w="8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177"/>
        <w:gridCol w:w="1177"/>
        <w:gridCol w:w="1178"/>
        <w:gridCol w:w="1178"/>
        <w:gridCol w:w="1178"/>
        <w:gridCol w:w="1178"/>
      </w:tblGrid>
      <w:tr w:rsidR="00E04802" w:rsidRPr="00E04802" w:rsidTr="00AC290C">
        <w:tc>
          <w:tcPr>
            <w:tcW w:w="2356" w:type="dxa"/>
            <w:gridSpan w:val="2"/>
            <w:tcBorders>
              <w:tl2br w:val="single" w:sz="4" w:space="0" w:color="auto"/>
            </w:tcBorders>
            <w:vAlign w:val="center"/>
          </w:tcPr>
          <w:p w:rsidR="00E04802" w:rsidRPr="00E04802" w:rsidRDefault="00E04802" w:rsidP="00E04802">
            <w:pPr>
              <w:spacing w:line="300" w:lineRule="exact"/>
              <w:ind w:left="95" w:hangingChars="50" w:hanging="95"/>
              <w:jc w:val="left"/>
              <w:rPr>
                <w:rFonts w:ascii="SimSun" w:eastAsia="SimSun" w:hAnsi="文泉驿正黑" w:cs="SimSun"/>
                <w:color w:val="000000"/>
                <w:kern w:val="0"/>
                <w:sz w:val="24"/>
                <w:szCs w:val="24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 xml:space="preserve">                  </w:t>
            </w: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kern w:val="0"/>
                <w:szCs w:val="21"/>
                <w:lang w:val="zh-CN" w:bidi="zh-CN"/>
              </w:rPr>
              <w:t>级别</w:t>
            </w:r>
            <w:r w:rsidRPr="00E04802">
              <w:rPr>
                <w:rFonts w:ascii="CESI宋体-GB2312" w:eastAsia="CESI宋体-GB2312" w:hAnsi="文泉驿正黑" w:cs="SimSun" w:hint="eastAsia"/>
                <w:b/>
                <w:color w:val="000000"/>
                <w:kern w:val="0"/>
                <w:szCs w:val="21"/>
                <w:lang w:val="zh-CN" w:bidi="zh-CN"/>
              </w:rPr>
              <w:t>用途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Cambria" w:cs="Cambria" w:hint="eastAsia"/>
                <w:color w:val="000000"/>
                <w:spacing w:val="-20"/>
                <w:kern w:val="0"/>
                <w:szCs w:val="21"/>
                <w:lang w:val="zh-CN" w:bidi="zh-CN"/>
              </w:rPr>
              <w:t>I</w:t>
            </w: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级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Cambria" w:cs="Cambria" w:hint="eastAsia"/>
                <w:color w:val="000000"/>
                <w:spacing w:val="-20"/>
                <w:kern w:val="0"/>
                <w:szCs w:val="21"/>
                <w:lang w:val="zh-CN" w:bidi="zh-CN"/>
              </w:rPr>
              <w:t>II</w:t>
            </w: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级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Cambria" w:cs="Cambria" w:hint="eastAsia"/>
                <w:color w:val="000000"/>
                <w:spacing w:val="-20"/>
                <w:kern w:val="0"/>
                <w:szCs w:val="21"/>
                <w:lang w:val="zh-CN" w:bidi="zh-CN"/>
              </w:rPr>
              <w:t>III</w:t>
            </w: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级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Cambria" w:cs="Cambria" w:hint="eastAsia"/>
                <w:color w:val="000000"/>
                <w:spacing w:val="-20"/>
                <w:kern w:val="0"/>
                <w:szCs w:val="21"/>
                <w:lang w:val="zh-CN" w:bidi="zh-CN"/>
              </w:rPr>
              <w:t>IV</w:t>
            </w: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级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Cambria" w:cs="Cambria" w:hint="eastAsia"/>
                <w:color w:val="000000"/>
                <w:spacing w:val="-20"/>
                <w:kern w:val="0"/>
                <w:szCs w:val="21"/>
                <w:lang w:val="zh-CN" w:bidi="zh-CN"/>
              </w:rPr>
              <w:t>V</w:t>
            </w: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级</w:t>
            </w:r>
          </w:p>
        </w:tc>
      </w:tr>
      <w:tr w:rsidR="00E04802" w:rsidRPr="00E04802" w:rsidTr="00AC290C">
        <w:trPr>
          <w:trHeight w:val="269"/>
        </w:trPr>
        <w:tc>
          <w:tcPr>
            <w:tcW w:w="1178" w:type="dxa"/>
            <w:vMerge w:val="restart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商服用地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元/平方米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2560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1862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1330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820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455</w:t>
            </w:r>
          </w:p>
        </w:tc>
      </w:tr>
      <w:tr w:rsidR="00E04802" w:rsidRPr="00E04802" w:rsidTr="00AC290C">
        <w:trPr>
          <w:trHeight w:val="269"/>
        </w:trPr>
        <w:tc>
          <w:tcPr>
            <w:tcW w:w="1178" w:type="dxa"/>
            <w:vMerge/>
            <w:vAlign w:val="center"/>
          </w:tcPr>
          <w:p w:rsidR="00E04802" w:rsidRPr="00E04802" w:rsidRDefault="00E04802" w:rsidP="00E04802">
            <w:pPr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万元/亩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170.67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124.13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88.67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54.67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30.33</w:t>
            </w:r>
          </w:p>
        </w:tc>
      </w:tr>
      <w:tr w:rsidR="00E04802" w:rsidRPr="00E04802" w:rsidTr="00AC290C">
        <w:trPr>
          <w:trHeight w:val="449"/>
        </w:trPr>
        <w:tc>
          <w:tcPr>
            <w:tcW w:w="1178" w:type="dxa"/>
            <w:vMerge w:val="restart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住宅用地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元/平方米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2019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1630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1220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860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510</w:t>
            </w:r>
          </w:p>
        </w:tc>
      </w:tr>
      <w:tr w:rsidR="00E04802" w:rsidRPr="00E04802" w:rsidTr="00AC290C">
        <w:trPr>
          <w:trHeight w:val="449"/>
        </w:trPr>
        <w:tc>
          <w:tcPr>
            <w:tcW w:w="1178" w:type="dxa"/>
            <w:vMerge/>
            <w:vAlign w:val="center"/>
          </w:tcPr>
          <w:p w:rsidR="00E04802" w:rsidRPr="00E04802" w:rsidRDefault="00E04802" w:rsidP="00E04802">
            <w:pPr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万元/亩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134.60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108.67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81.33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57.33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34.00</w:t>
            </w:r>
          </w:p>
        </w:tc>
      </w:tr>
      <w:tr w:rsidR="00E04802" w:rsidRPr="00E04802" w:rsidTr="00AC290C">
        <w:trPr>
          <w:trHeight w:val="449"/>
        </w:trPr>
        <w:tc>
          <w:tcPr>
            <w:tcW w:w="1178" w:type="dxa"/>
            <w:vMerge w:val="restart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工业用地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元/平方米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/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605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427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315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230</w:t>
            </w:r>
          </w:p>
        </w:tc>
      </w:tr>
      <w:tr w:rsidR="00E04802" w:rsidRPr="00E04802" w:rsidTr="00AC290C">
        <w:trPr>
          <w:trHeight w:val="449"/>
        </w:trPr>
        <w:tc>
          <w:tcPr>
            <w:tcW w:w="1178" w:type="dxa"/>
            <w:vMerge/>
            <w:vAlign w:val="center"/>
          </w:tcPr>
          <w:p w:rsidR="00E04802" w:rsidRPr="00E04802" w:rsidRDefault="00E04802" w:rsidP="00E04802">
            <w:pPr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万元/亩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/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40.33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28.47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21.00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15.33</w:t>
            </w:r>
          </w:p>
        </w:tc>
      </w:tr>
      <w:tr w:rsidR="00E04802" w:rsidRPr="00E04802" w:rsidTr="00AC290C">
        <w:trPr>
          <w:trHeight w:val="449"/>
        </w:trPr>
        <w:tc>
          <w:tcPr>
            <w:tcW w:w="1178" w:type="dxa"/>
            <w:vMerge w:val="restart"/>
            <w:vAlign w:val="center"/>
          </w:tcPr>
          <w:p w:rsidR="00E04802" w:rsidRPr="00E04802" w:rsidRDefault="00E04802" w:rsidP="00E04802">
            <w:pPr>
              <w:spacing w:line="24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公共管理与公共服务用地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元/平方米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1130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854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642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476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val="zh-CN" w:bidi="zh-CN"/>
              </w:rPr>
              <w:t>302</w:t>
            </w:r>
          </w:p>
        </w:tc>
      </w:tr>
      <w:tr w:rsidR="00E04802" w:rsidRPr="00E04802" w:rsidTr="00AC290C">
        <w:trPr>
          <w:trHeight w:val="449"/>
        </w:trPr>
        <w:tc>
          <w:tcPr>
            <w:tcW w:w="1178" w:type="dxa"/>
            <w:vMerge/>
          </w:tcPr>
          <w:p w:rsidR="00E04802" w:rsidRPr="00E04802" w:rsidRDefault="00E04802" w:rsidP="00E04802">
            <w:pPr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b/>
                <w:bCs/>
                <w:color w:val="000000"/>
                <w:spacing w:val="-10"/>
                <w:kern w:val="0"/>
                <w:szCs w:val="21"/>
                <w:lang w:val="zh-CN" w:bidi="zh-CN"/>
              </w:rPr>
              <w:t>万元/亩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75.33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56.93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42.80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31.73</w:t>
            </w:r>
          </w:p>
        </w:tc>
        <w:tc>
          <w:tcPr>
            <w:tcW w:w="1178" w:type="dxa"/>
            <w:vAlign w:val="center"/>
          </w:tcPr>
          <w:p w:rsidR="00E04802" w:rsidRPr="00E04802" w:rsidRDefault="00E04802" w:rsidP="00E04802">
            <w:pPr>
              <w:spacing w:line="460" w:lineRule="exact"/>
              <w:jc w:val="center"/>
              <w:rPr>
                <w:rFonts w:ascii="CESI宋体-GB2312" w:eastAsia="CESI宋体-GB2312" w:hAnsi="文泉驿正黑" w:cs="SimSun" w:hint="eastAsia"/>
                <w:color w:val="000000"/>
                <w:kern w:val="0"/>
                <w:szCs w:val="21"/>
                <w:lang w:val="zh-CN" w:bidi="zh-CN"/>
              </w:rPr>
            </w:pPr>
            <w:r w:rsidRPr="00E04802">
              <w:rPr>
                <w:rFonts w:ascii="CESI宋体-GB2312" w:eastAsia="CESI宋体-GB2312" w:hAnsi="文泉驿正黑" w:cs="SimSun" w:hint="eastAsia"/>
                <w:color w:val="000000"/>
                <w:spacing w:val="-10"/>
                <w:kern w:val="0"/>
                <w:szCs w:val="21"/>
                <w:lang w:eastAsia="en-US" w:bidi="en-US"/>
              </w:rPr>
              <w:t>20.13</w:t>
            </w:r>
          </w:p>
        </w:tc>
      </w:tr>
    </w:tbl>
    <w:p w:rsidR="00E04802" w:rsidRPr="00E04802" w:rsidRDefault="00E04802" w:rsidP="00E04802">
      <w:pPr>
        <w:jc w:val="left"/>
        <w:rPr>
          <w:rFonts w:ascii="CESI宋体-GB2312" w:eastAsia="CESI宋体-GB2312" w:hAnsi="Arial Unicode MS" w:cs="Arial Unicode MS" w:hint="eastAsia"/>
          <w:color w:val="000000"/>
          <w:kern w:val="0"/>
          <w:szCs w:val="21"/>
          <w:lang w:val="zh-CN" w:bidi="zh-CN"/>
        </w:rPr>
      </w:pPr>
      <w:r w:rsidRPr="00E04802">
        <w:rPr>
          <w:rFonts w:ascii="CESI宋体-GB2312" w:eastAsia="CESI宋体-GB2312" w:hAnsi="Arial Unicode MS" w:cs="SimSun" w:hint="eastAsia"/>
          <w:color w:val="000000"/>
          <w:kern w:val="0"/>
          <w:szCs w:val="21"/>
          <w:lang w:val="zh-CN" w:bidi="zh-CN"/>
        </w:rPr>
        <w:t>注：</w:t>
      </w:r>
      <w:r w:rsidRPr="00E04802">
        <w:rPr>
          <w:rFonts w:ascii="CESI宋体-GB2312" w:eastAsia="CESI宋体-GB2312" w:hAnsi="Cambria" w:cs="Cambria" w:hint="eastAsia"/>
          <w:color w:val="000000"/>
          <w:spacing w:val="-20"/>
          <w:kern w:val="0"/>
          <w:szCs w:val="21"/>
          <w:lang w:val="zh-CN" w:bidi="zh-CN"/>
        </w:rPr>
        <w:t>I</w:t>
      </w:r>
      <w:r w:rsidRPr="00E04802">
        <w:rPr>
          <w:rFonts w:ascii="CESI宋体-GB2312" w:eastAsia="CESI宋体-GB2312" w:hAnsi="Arial Unicode MS" w:cs="SimSun" w:hint="eastAsia"/>
          <w:color w:val="000000"/>
          <w:kern w:val="0"/>
          <w:szCs w:val="21"/>
          <w:lang w:val="zh-CN" w:bidi="zh-CN"/>
        </w:rPr>
        <w:t>级工业用地的基准地价，参照</w:t>
      </w:r>
      <w:r w:rsidRPr="00E04802">
        <w:rPr>
          <w:rFonts w:ascii="CESI宋体-GB2312" w:eastAsia="CESI宋体-GB2312" w:hAnsi="Arial Unicode MS" w:cs="Cambria" w:hint="eastAsia"/>
          <w:color w:val="000000"/>
          <w:kern w:val="0"/>
          <w:szCs w:val="21"/>
          <w:lang w:val="zh-CN"/>
        </w:rPr>
        <w:t>Ⅱ</w:t>
      </w:r>
      <w:r w:rsidRPr="00E04802">
        <w:rPr>
          <w:rFonts w:ascii="CESI宋体-GB2312" w:eastAsia="CESI宋体-GB2312" w:hAnsi="Arial Unicode MS" w:cs="SimSun" w:hint="eastAsia"/>
          <w:color w:val="000000"/>
          <w:kern w:val="0"/>
          <w:szCs w:val="21"/>
          <w:lang w:val="zh-CN" w:bidi="zh-CN"/>
        </w:rPr>
        <w:t>级工业用地的基准地价</w:t>
      </w:r>
    </w:p>
    <w:p w:rsidR="00E04802" w:rsidRPr="00E04802" w:rsidRDefault="00E04802" w:rsidP="00E04802">
      <w:pPr>
        <w:spacing w:line="500" w:lineRule="exact"/>
        <w:ind w:firstLineChars="200" w:firstLine="640"/>
        <w:jc w:val="left"/>
        <w:rPr>
          <w:rFonts w:ascii="方正黑体_GBK" w:eastAsia="方正黑体_GBK" w:hAnsi="文泉驿正黑" w:cs="SimSun" w:hint="eastAsia"/>
          <w:color w:val="000000"/>
          <w:kern w:val="0"/>
          <w:sz w:val="32"/>
          <w:szCs w:val="32"/>
          <w:lang w:val="zh-CN" w:bidi="zh-CN"/>
        </w:rPr>
      </w:pPr>
      <w:r w:rsidRPr="00E04802">
        <w:rPr>
          <w:rFonts w:ascii="方正黑体_GBK" w:eastAsia="方正黑体_GBK" w:hAnsi="文泉驿正黑" w:cs="SimSun" w:hint="eastAsia"/>
          <w:color w:val="000000"/>
          <w:kern w:val="0"/>
          <w:sz w:val="32"/>
          <w:szCs w:val="32"/>
          <w:lang w:val="zh-CN" w:bidi="zh-CN"/>
        </w:rPr>
        <w:t>二、基准地价内涵</w:t>
      </w:r>
    </w:p>
    <w:p w:rsidR="00E04802" w:rsidRPr="00E04802" w:rsidRDefault="00E04802" w:rsidP="00E04802">
      <w:pPr>
        <w:tabs>
          <w:tab w:val="left" w:pos="1407"/>
        </w:tabs>
        <w:spacing w:line="500" w:lineRule="exact"/>
        <w:ind w:firstLineChars="200" w:firstLine="600"/>
        <w:jc w:val="left"/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</w:pP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1.估价期日：2022年1月1日。</w:t>
      </w:r>
    </w:p>
    <w:p w:rsidR="00E04802" w:rsidRPr="00E04802" w:rsidRDefault="00E04802" w:rsidP="00E04802">
      <w:pPr>
        <w:tabs>
          <w:tab w:val="left" w:pos="1391"/>
        </w:tabs>
        <w:spacing w:line="500" w:lineRule="exact"/>
        <w:ind w:firstLineChars="200" w:firstLine="600"/>
        <w:jc w:val="left"/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</w:pP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2.土地使用年期：商服用地40年、住宅用地70年、工业用地50年、公共管理与公共服务用地50年。</w:t>
      </w:r>
    </w:p>
    <w:p w:rsidR="00E04802" w:rsidRPr="00E04802" w:rsidRDefault="00E04802" w:rsidP="00E04802">
      <w:pPr>
        <w:tabs>
          <w:tab w:val="left" w:pos="1403"/>
        </w:tabs>
        <w:spacing w:line="500" w:lineRule="exact"/>
        <w:ind w:firstLineChars="200" w:firstLine="600"/>
        <w:jc w:val="left"/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</w:pP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3.容积率：商服用地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bidi="en-US"/>
        </w:rPr>
        <w:t xml:space="preserve">1. 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5、住宅用地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bidi="en-US"/>
        </w:rPr>
        <w:t xml:space="preserve">3. 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0、工业用地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bidi="en-US"/>
        </w:rPr>
        <w:t xml:space="preserve">1. 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0、公共管理与公共服务用地容积率符合宗地规划设计条件。</w:t>
      </w:r>
    </w:p>
    <w:p w:rsidR="00E04802" w:rsidRPr="00E04802" w:rsidRDefault="00E04802" w:rsidP="00E04802">
      <w:pPr>
        <w:tabs>
          <w:tab w:val="left" w:pos="1409"/>
        </w:tabs>
        <w:spacing w:line="500" w:lineRule="exact"/>
        <w:ind w:firstLine="660"/>
        <w:jc w:val="left"/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</w:pP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4.开发程度：商服用地、住宅用地和公共管理与公共服务用地宗地外“六通”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bidi="en-US"/>
        </w:rPr>
        <w:t>（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通上水、通下水、通电、通气、通路、通讯)、宗地内“场平”；工业用地</w:t>
      </w:r>
      <w:r w:rsidRPr="00E04802">
        <w:rPr>
          <w:rFonts w:ascii="CESI仿宋-GB2312" w:eastAsia="CESI仿宋-GB2312" w:hAnsi="Cambria" w:cs="Cambria" w:hint="eastAsia"/>
          <w:color w:val="000000"/>
          <w:kern w:val="0"/>
          <w:sz w:val="30"/>
          <w:szCs w:val="30"/>
          <w:lang w:bidi="en-US"/>
        </w:rPr>
        <w:t>I</w:t>
      </w:r>
      <w:r w:rsidRPr="00E04802">
        <w:rPr>
          <w:rFonts w:ascii="CESI仿宋-GB2312" w:eastAsia="CESI仿宋-GB2312" w:hAnsi="Cambria" w:cs="Cambria" w:hint="eastAsia"/>
          <w:color w:val="000000"/>
          <w:kern w:val="0"/>
          <w:sz w:val="30"/>
          <w:szCs w:val="30"/>
          <w:vertAlign w:val="superscript"/>
          <w:lang w:bidi="en-US"/>
        </w:rPr>
        <w:t>_</w:t>
      </w:r>
      <w:r w:rsidRPr="00E04802">
        <w:rPr>
          <w:rFonts w:ascii="CESI仿宋-GB2312" w:eastAsia="CESI仿宋-GB2312" w:hAnsi="Cambria" w:cs="Cambria" w:hint="eastAsia"/>
          <w:color w:val="000000"/>
          <w:kern w:val="0"/>
          <w:sz w:val="30"/>
          <w:szCs w:val="30"/>
          <w:lang w:bidi="en-US"/>
        </w:rPr>
        <w:t>IV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级宗地外“六通”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bidi="en-US"/>
        </w:rPr>
        <w:t>（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通上水、通下水、通电、通气、通路、通讯)、宗地内“场平”；工业用地</w:t>
      </w:r>
      <w:r w:rsidRPr="00E04802">
        <w:rPr>
          <w:rFonts w:ascii="CESI仿宋-GB2312" w:eastAsia="CESI仿宋-GB2312" w:hAnsi="Cambria" w:cs="Cambria" w:hint="eastAsia"/>
          <w:color w:val="000000"/>
          <w:kern w:val="0"/>
          <w:sz w:val="30"/>
          <w:szCs w:val="30"/>
          <w:lang w:val="zh-CN" w:bidi="zh-CN"/>
        </w:rPr>
        <w:t>V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级宗地外“五通”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bidi="en-US"/>
        </w:rPr>
        <w:t>（</w:t>
      </w: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通上水、通下水、通电、通路、通讯)、宗地内“场平”。</w:t>
      </w:r>
    </w:p>
    <w:p w:rsidR="0092656E" w:rsidRPr="00E04802" w:rsidRDefault="00E04802" w:rsidP="00E04802">
      <w:pPr>
        <w:tabs>
          <w:tab w:val="left" w:pos="1409"/>
        </w:tabs>
        <w:spacing w:line="500" w:lineRule="exact"/>
        <w:ind w:firstLine="660"/>
        <w:jc w:val="left"/>
        <w:rPr>
          <w:rFonts w:ascii="SimSun" w:eastAsia="SimSun" w:hAnsi="文泉驿正黑" w:cs="SimSun"/>
          <w:color w:val="000000"/>
          <w:kern w:val="0"/>
          <w:sz w:val="24"/>
          <w:szCs w:val="24"/>
          <w:lang w:val="zh-CN" w:bidi="zh-CN"/>
        </w:rPr>
      </w:pPr>
      <w:r w:rsidRPr="00E04802">
        <w:rPr>
          <w:rFonts w:ascii="CESI仿宋-GB2312" w:eastAsia="CESI仿宋-GB2312" w:hAnsi="文泉驿正黑" w:cs="SimSun" w:hint="eastAsia"/>
          <w:color w:val="000000"/>
          <w:kern w:val="0"/>
          <w:sz w:val="30"/>
          <w:szCs w:val="30"/>
          <w:lang w:val="zh-CN" w:bidi="zh-CN"/>
        </w:rPr>
        <w:t>5.权利状况：出让土地使用权，无他项权利限制（符合相关法律法规约定)。</w:t>
      </w:r>
    </w:p>
    <w:sectPr w:rsidR="0092656E" w:rsidRPr="00E04802">
      <w:pgSz w:w="11907" w:h="16839"/>
      <w:pgMar w:top="1440" w:right="1800" w:bottom="1440" w:left="1800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F7" w:rsidRDefault="00F73FF7" w:rsidP="00E04802">
      <w:r>
        <w:separator/>
      </w:r>
    </w:p>
  </w:endnote>
  <w:endnote w:type="continuationSeparator" w:id="0">
    <w:p w:rsidR="00F73FF7" w:rsidRDefault="00F73FF7" w:rsidP="00E0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泉驿正黑">
    <w:altName w:val="Arial Unicode MS"/>
    <w:charset w:val="86"/>
    <w:family w:val="script"/>
    <w:pitch w:val="variable"/>
    <w:sig w:usb0="00000000" w:usb1="2BDF7DFB" w:usb2="00000036" w:usb3="00000000" w:csb0="603E000D" w:csb1="D2D70000"/>
  </w:font>
  <w:font w:name="SimSun">
    <w:altName w:val="宋体"/>
    <w:charset w:val="00"/>
    <w:family w:val="auto"/>
    <w:pitch w:val="variable"/>
  </w:font>
  <w:font w:name="方正黑体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CESI宋体-GB2312">
    <w:altName w:val="微软雅黑"/>
    <w:charset w:val="86"/>
    <w:family w:val="script"/>
    <w:pitch w:val="variable"/>
    <w:sig w:usb0="00000000" w:usb1="0847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SI仿宋-GB2312">
    <w:altName w:val="微软雅黑"/>
    <w:charset w:val="86"/>
    <w:family w:val="script"/>
    <w:pitch w:val="variable"/>
    <w:sig w:usb0="00000000" w:usb1="084F6CF8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F7" w:rsidRDefault="00F73FF7" w:rsidP="00E04802">
      <w:r>
        <w:separator/>
      </w:r>
    </w:p>
  </w:footnote>
  <w:footnote w:type="continuationSeparator" w:id="0">
    <w:p w:rsidR="00F73FF7" w:rsidRDefault="00F73FF7" w:rsidP="00E0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B7"/>
    <w:rsid w:val="006E30B7"/>
    <w:rsid w:val="0092656E"/>
    <w:rsid w:val="00E04802"/>
    <w:rsid w:val="00F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8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办公室:李兵</dc:creator>
  <cp:keywords/>
  <dc:description/>
  <cp:lastModifiedBy>办公室:李兵</cp:lastModifiedBy>
  <cp:revision>2</cp:revision>
  <dcterms:created xsi:type="dcterms:W3CDTF">2022-08-22T03:05:00Z</dcterms:created>
  <dcterms:modified xsi:type="dcterms:W3CDTF">2022-08-22T03:05:00Z</dcterms:modified>
</cp:coreProperties>
</file>