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4" w:lineRule="auto"/>
        <w:ind w:left="19"/>
        <w:rPr>
          <w:rFonts w:ascii="黑体" w:hAnsi="黑体" w:eastAsia="黑体" w:cs="黑体"/>
          <w:b/>
          <w:bCs/>
          <w:spacing w:val="-5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spacing w:before="181" w:line="224" w:lineRule="auto"/>
        <w:ind w:left="19"/>
        <w:rPr>
          <w:rFonts w:ascii="黑体" w:hAnsi="黑体" w:eastAsia="黑体" w:cs="黑体"/>
          <w:b/>
          <w:bCs/>
          <w:spacing w:val="-5"/>
          <w:sz w:val="32"/>
          <w:szCs w:val="32"/>
        </w:rPr>
      </w:pPr>
    </w:p>
    <w:p>
      <w:pPr>
        <w:spacing w:before="137" w:line="767" w:lineRule="exact"/>
        <w:ind w:left="1381"/>
        <w:jc w:val="center"/>
        <w:rPr>
          <w:rFonts w:ascii="宋体" w:hAnsi="宋体" w:eastAsia="宋体" w:cs="宋体"/>
          <w:b/>
          <w:bCs/>
          <w:spacing w:val="-8"/>
          <w:position w:val="24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position w:val="24"/>
          <w:sz w:val="44"/>
          <w:szCs w:val="44"/>
        </w:rPr>
        <w:t>洪雅县城区基准地价及地价定义</w:t>
      </w:r>
    </w:p>
    <w:p>
      <w:pPr>
        <w:numPr>
          <w:ilvl w:val="0"/>
          <w:numId w:val="1"/>
        </w:numPr>
        <w:spacing w:before="1" w:line="220" w:lineRule="auto"/>
        <w:ind w:left="649"/>
        <w:rPr>
          <w:rFonts w:ascii="黑体" w:hAnsi="黑体" w:eastAsia="黑体" w:cs="黑体"/>
          <w:b/>
          <w:bCs/>
          <w:spacing w:val="-4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洪雅县城区各类用地基准地价一览表</w:t>
      </w:r>
    </w:p>
    <w:p>
      <w:pPr>
        <w:spacing w:line="36" w:lineRule="exact"/>
      </w:pPr>
    </w:p>
    <w:tbl>
      <w:tblPr>
        <w:tblStyle w:val="6"/>
        <w:tblW w:w="88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149"/>
        <w:gridCol w:w="1228"/>
        <w:gridCol w:w="1239"/>
        <w:gridCol w:w="1239"/>
        <w:gridCol w:w="1238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692" w:type="dxa"/>
            <w:gridSpan w:val="2"/>
            <w:vAlign w:val="top"/>
          </w:tcPr>
          <w:p>
            <w:pPr>
              <w:pStyle w:val="5"/>
              <w:spacing w:before="105" w:line="221" w:lineRule="auto"/>
              <w:ind w:left="25"/>
            </w:pPr>
            <w:r>
              <w:rPr>
                <w:spacing w:val="7"/>
              </w:rPr>
              <w:t>用途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7"/>
              </w:rPr>
              <w:t>级别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38" w:line="221" w:lineRule="auto"/>
              <w:ind w:left="423"/>
            </w:pPr>
            <w:r>
              <w:rPr>
                <w:spacing w:val="7"/>
              </w:rPr>
              <w:t>I级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38" w:line="221" w:lineRule="auto"/>
              <w:ind w:left="374"/>
            </w:pPr>
            <w:r>
              <w:rPr>
                <w:spacing w:val="-26"/>
              </w:rPr>
              <w:t>Ⅱ</w:t>
            </w:r>
            <w:r>
              <w:rPr>
                <w:spacing w:val="-41"/>
              </w:rPr>
              <w:t xml:space="preserve"> </w:t>
            </w:r>
            <w:r>
              <w:rPr>
                <w:spacing w:val="-26"/>
              </w:rPr>
              <w:t>级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38" w:line="221" w:lineRule="auto"/>
              <w:ind w:left="376"/>
            </w:pPr>
            <w:r>
              <w:rPr>
                <w:spacing w:val="7"/>
              </w:rPr>
              <w:t>Ⅲ级</w:t>
            </w:r>
          </w:p>
        </w:tc>
        <w:tc>
          <w:tcPr>
            <w:tcW w:w="1238" w:type="dxa"/>
            <w:vAlign w:val="top"/>
          </w:tcPr>
          <w:p>
            <w:pPr>
              <w:pStyle w:val="5"/>
              <w:spacing w:before="138" w:line="221" w:lineRule="auto"/>
              <w:ind w:left="377"/>
            </w:pPr>
            <w:r>
              <w:t>IV</w:t>
            </w:r>
            <w:r>
              <w:rPr>
                <w:spacing w:val="14"/>
              </w:rPr>
              <w:t>级</w:t>
            </w:r>
          </w:p>
        </w:tc>
        <w:tc>
          <w:tcPr>
            <w:tcW w:w="1204" w:type="dxa"/>
            <w:vAlign w:val="top"/>
          </w:tcPr>
          <w:p>
            <w:pPr>
              <w:pStyle w:val="5"/>
              <w:spacing w:before="138" w:line="221" w:lineRule="auto"/>
              <w:ind w:left="419"/>
            </w:pPr>
            <w:r>
              <w:rPr>
                <w:spacing w:val="-1"/>
              </w:rPr>
              <w:t>V级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12" w:line="239" w:lineRule="auto"/>
              <w:ind w:left="525"/>
            </w:pPr>
            <w:r>
              <w:rPr>
                <w:spacing w:val="4"/>
              </w:rPr>
              <w:t>商服</w:t>
            </w:r>
          </w:p>
          <w:p>
            <w:pPr>
              <w:pStyle w:val="5"/>
              <w:spacing w:before="1" w:line="220" w:lineRule="auto"/>
              <w:ind w:left="525"/>
            </w:pPr>
            <w:r>
              <w:rPr>
                <w:spacing w:val="4"/>
              </w:rPr>
              <w:t>用地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72" w:line="219" w:lineRule="auto"/>
              <w:ind w:left="22"/>
            </w:pPr>
            <w:r>
              <w:rPr>
                <w:spacing w:val="2"/>
              </w:rPr>
              <w:t>元/平方米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33" w:line="181" w:lineRule="auto"/>
              <w:ind w:left="363"/>
            </w:pPr>
            <w:r>
              <w:rPr>
                <w:spacing w:val="-3"/>
              </w:rPr>
              <w:t>2000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32" w:line="182" w:lineRule="auto"/>
              <w:ind w:left="374"/>
            </w:pPr>
            <w:r>
              <w:rPr>
                <w:spacing w:val="-6"/>
              </w:rPr>
              <w:t>1300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33" w:line="181" w:lineRule="auto"/>
              <w:ind w:left="436"/>
            </w:pPr>
            <w:r>
              <w:rPr>
                <w:spacing w:val="-3"/>
              </w:rPr>
              <w:t>950</w:t>
            </w:r>
          </w:p>
        </w:tc>
        <w:tc>
          <w:tcPr>
            <w:tcW w:w="1238" w:type="dxa"/>
            <w:vAlign w:val="top"/>
          </w:tcPr>
          <w:p>
            <w:pPr>
              <w:pStyle w:val="5"/>
              <w:spacing w:before="133" w:line="181" w:lineRule="auto"/>
              <w:ind w:left="437"/>
            </w:pPr>
            <w:r>
              <w:rPr>
                <w:spacing w:val="-4"/>
              </w:rPr>
              <w:t>730</w:t>
            </w:r>
          </w:p>
        </w:tc>
        <w:tc>
          <w:tcPr>
            <w:tcW w:w="1204" w:type="dxa"/>
            <w:vAlign w:val="top"/>
          </w:tcPr>
          <w:p>
            <w:pPr>
              <w:pStyle w:val="5"/>
              <w:spacing w:before="133" w:line="181" w:lineRule="auto"/>
              <w:ind w:left="419"/>
            </w:pPr>
            <w:r>
              <w:rPr>
                <w:spacing w:val="-3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83" w:line="220" w:lineRule="auto"/>
              <w:ind w:left="142"/>
            </w:pPr>
            <w:r>
              <w:rPr>
                <w:spacing w:val="2"/>
              </w:rPr>
              <w:t>万元/亩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43" w:line="181" w:lineRule="auto"/>
              <w:ind w:left="243"/>
            </w:pPr>
            <w:r>
              <w:rPr>
                <w:spacing w:val="-4"/>
              </w:rPr>
              <w:t>133.33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5" w:line="180" w:lineRule="auto"/>
              <w:ind w:left="315"/>
            </w:pPr>
            <w:r>
              <w:rPr>
                <w:spacing w:val="-2"/>
              </w:rPr>
              <w:t>86.67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5" w:line="180" w:lineRule="auto"/>
              <w:ind w:left="316"/>
            </w:pPr>
            <w:r>
              <w:rPr>
                <w:spacing w:val="-2"/>
              </w:rPr>
              <w:t>63.33</w:t>
            </w:r>
          </w:p>
        </w:tc>
        <w:tc>
          <w:tcPr>
            <w:tcW w:w="1238" w:type="dxa"/>
            <w:vAlign w:val="top"/>
          </w:tcPr>
          <w:p>
            <w:pPr>
              <w:pStyle w:val="5"/>
              <w:spacing w:before="145" w:line="180" w:lineRule="auto"/>
              <w:ind w:left="317"/>
            </w:pPr>
            <w:r>
              <w:rPr>
                <w:spacing w:val="-2"/>
              </w:rPr>
              <w:t>48.67</w:t>
            </w:r>
          </w:p>
        </w:tc>
        <w:tc>
          <w:tcPr>
            <w:tcW w:w="1204" w:type="dxa"/>
            <w:vAlign w:val="top"/>
          </w:tcPr>
          <w:p>
            <w:pPr>
              <w:pStyle w:val="5"/>
              <w:spacing w:before="145" w:line="180" w:lineRule="auto"/>
              <w:ind w:left="299"/>
            </w:pPr>
            <w:r>
              <w:rPr>
                <w:spacing w:val="-2"/>
              </w:rPr>
              <w:t>40.00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45" w:line="223" w:lineRule="auto"/>
              <w:ind w:left="525"/>
            </w:pPr>
            <w:r>
              <w:rPr>
                <w:spacing w:val="7"/>
              </w:rPr>
              <w:t>住宅</w:t>
            </w:r>
          </w:p>
          <w:p>
            <w:pPr>
              <w:pStyle w:val="5"/>
              <w:spacing w:before="1" w:line="220" w:lineRule="auto"/>
              <w:ind w:left="525"/>
            </w:pPr>
            <w:r>
              <w:rPr>
                <w:spacing w:val="4"/>
              </w:rPr>
              <w:t>用地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84" w:line="219" w:lineRule="auto"/>
              <w:ind w:left="22"/>
            </w:pPr>
            <w:r>
              <w:rPr>
                <w:spacing w:val="2"/>
              </w:rPr>
              <w:t>元/平方米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44" w:line="184" w:lineRule="auto"/>
              <w:ind w:left="363"/>
            </w:pPr>
            <w:r>
              <w:rPr>
                <w:spacing w:val="-6"/>
              </w:rPr>
              <w:t>1850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4" w:line="184" w:lineRule="auto"/>
              <w:ind w:left="374"/>
            </w:pPr>
            <w:r>
              <w:rPr>
                <w:spacing w:val="-6"/>
              </w:rPr>
              <w:t>1625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4" w:line="184" w:lineRule="auto"/>
              <w:ind w:left="376"/>
            </w:pPr>
            <w:r>
              <w:rPr>
                <w:spacing w:val="-6"/>
              </w:rPr>
              <w:t>1060</w:t>
            </w:r>
          </w:p>
        </w:tc>
        <w:tc>
          <w:tcPr>
            <w:tcW w:w="1238" w:type="dxa"/>
            <w:vAlign w:val="top"/>
          </w:tcPr>
          <w:p>
            <w:pPr>
              <w:pStyle w:val="5"/>
              <w:spacing w:before="145" w:line="183" w:lineRule="auto"/>
              <w:ind w:left="437"/>
            </w:pPr>
            <w:r>
              <w:rPr>
                <w:spacing w:val="-3"/>
              </w:rPr>
              <w:t>630</w:t>
            </w:r>
          </w:p>
        </w:tc>
        <w:tc>
          <w:tcPr>
            <w:tcW w:w="1204" w:type="dxa"/>
            <w:vAlign w:val="top"/>
          </w:tcPr>
          <w:p>
            <w:pPr>
              <w:pStyle w:val="5"/>
              <w:spacing w:before="90" w:line="224" w:lineRule="auto"/>
              <w:ind w:left="539"/>
            </w:pPr>
            <w: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85" w:line="220" w:lineRule="auto"/>
              <w:ind w:left="142"/>
            </w:pPr>
            <w:r>
              <w:rPr>
                <w:spacing w:val="2"/>
              </w:rPr>
              <w:t>万元/亩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46" w:line="179" w:lineRule="auto"/>
              <w:ind w:left="243"/>
            </w:pPr>
            <w:r>
              <w:rPr>
                <w:spacing w:val="-4"/>
              </w:rPr>
              <w:t>123.33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6" w:line="179" w:lineRule="auto"/>
              <w:ind w:left="255"/>
            </w:pPr>
            <w:r>
              <w:rPr>
                <w:spacing w:val="-4"/>
              </w:rPr>
              <w:t>108.33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6" w:line="179" w:lineRule="auto"/>
              <w:ind w:left="316"/>
            </w:pPr>
            <w:r>
              <w:rPr>
                <w:spacing w:val="-3"/>
              </w:rPr>
              <w:t>70.67</w:t>
            </w:r>
          </w:p>
        </w:tc>
        <w:tc>
          <w:tcPr>
            <w:tcW w:w="1238" w:type="dxa"/>
            <w:vAlign w:val="top"/>
          </w:tcPr>
          <w:p>
            <w:pPr>
              <w:pStyle w:val="5"/>
              <w:spacing w:before="146" w:line="179" w:lineRule="auto"/>
              <w:ind w:left="317"/>
            </w:pPr>
            <w:r>
              <w:rPr>
                <w:spacing w:val="-2"/>
              </w:rPr>
              <w:t>42.00</w:t>
            </w:r>
          </w:p>
        </w:tc>
        <w:tc>
          <w:tcPr>
            <w:tcW w:w="1204" w:type="dxa"/>
            <w:vAlign w:val="top"/>
          </w:tcPr>
          <w:p>
            <w:pPr>
              <w:pStyle w:val="5"/>
              <w:spacing w:before="91" w:line="221" w:lineRule="auto"/>
              <w:ind w:left="539"/>
            </w:pPr>
            <w: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41" w:line="228" w:lineRule="auto"/>
              <w:ind w:left="525"/>
            </w:pPr>
            <w:r>
              <w:rPr>
                <w:spacing w:val="4"/>
              </w:rPr>
              <w:t>工业</w:t>
            </w:r>
          </w:p>
          <w:p>
            <w:pPr>
              <w:pStyle w:val="5"/>
              <w:spacing w:before="1" w:line="220" w:lineRule="auto"/>
              <w:ind w:left="525"/>
            </w:pPr>
            <w:r>
              <w:rPr>
                <w:spacing w:val="4"/>
              </w:rPr>
              <w:t>用地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76" w:line="219" w:lineRule="auto"/>
              <w:ind w:left="22"/>
            </w:pPr>
            <w:r>
              <w:rPr>
                <w:spacing w:val="2"/>
              </w:rPr>
              <w:t>元/平方米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37" w:line="178" w:lineRule="auto"/>
              <w:ind w:left="423"/>
            </w:pPr>
            <w:r>
              <w:rPr>
                <w:spacing w:val="-3"/>
              </w:rPr>
              <w:t>200</w:t>
            </w:r>
          </w:p>
        </w:tc>
        <w:tc>
          <w:tcPr>
            <w:tcW w:w="4920" w:type="dxa"/>
            <w:gridSpan w:val="4"/>
            <w:vAlign w:val="top"/>
          </w:tcPr>
          <w:p>
            <w:pPr>
              <w:pStyle w:val="5"/>
              <w:spacing w:before="81" w:line="221" w:lineRule="auto"/>
              <w:ind w:left="2395"/>
            </w:pPr>
            <w: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87" w:line="220" w:lineRule="auto"/>
              <w:ind w:left="142"/>
            </w:pPr>
            <w:r>
              <w:rPr>
                <w:spacing w:val="2"/>
              </w:rPr>
              <w:t>万元/亩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47" w:line="178" w:lineRule="auto"/>
              <w:ind w:left="303"/>
            </w:pPr>
            <w:r>
              <w:rPr>
                <w:spacing w:val="-5"/>
              </w:rPr>
              <w:t>13.33</w:t>
            </w:r>
          </w:p>
        </w:tc>
        <w:tc>
          <w:tcPr>
            <w:tcW w:w="4920" w:type="dxa"/>
            <w:gridSpan w:val="4"/>
            <w:vAlign w:val="top"/>
          </w:tcPr>
          <w:p>
            <w:pPr>
              <w:pStyle w:val="5"/>
              <w:spacing w:before="93" w:line="220" w:lineRule="auto"/>
              <w:ind w:left="2395"/>
            </w:pPr>
            <w: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28" w:line="221" w:lineRule="auto"/>
              <w:ind w:left="45" w:right="38" w:firstLine="120"/>
            </w:pPr>
            <w:r>
              <w:rPr>
                <w:spacing w:val="3"/>
              </w:rPr>
              <w:t>公共管理与</w:t>
            </w:r>
            <w:r>
              <w:rPr>
                <w:spacing w:val="1"/>
              </w:rPr>
              <w:t xml:space="preserve">  公共服务用地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78" w:line="219" w:lineRule="auto"/>
              <w:ind w:left="22"/>
            </w:pPr>
            <w:r>
              <w:rPr>
                <w:spacing w:val="2"/>
              </w:rPr>
              <w:t>元/平方米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40" w:line="176" w:lineRule="auto"/>
              <w:ind w:left="423"/>
            </w:pPr>
            <w:r>
              <w:rPr>
                <w:spacing w:val="-3"/>
              </w:rPr>
              <w:t>960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0" w:line="176" w:lineRule="auto"/>
              <w:ind w:left="435"/>
            </w:pPr>
            <w:r>
              <w:rPr>
                <w:spacing w:val="-3"/>
              </w:rPr>
              <w:t>670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0" w:line="176" w:lineRule="auto"/>
              <w:ind w:left="436"/>
            </w:pPr>
            <w:r>
              <w:rPr>
                <w:spacing w:val="-4"/>
              </w:rPr>
              <w:t>570</w:t>
            </w:r>
          </w:p>
        </w:tc>
        <w:tc>
          <w:tcPr>
            <w:tcW w:w="1238" w:type="dxa"/>
            <w:vAlign w:val="top"/>
          </w:tcPr>
          <w:p>
            <w:pPr>
              <w:pStyle w:val="5"/>
              <w:spacing w:before="140" w:line="176" w:lineRule="auto"/>
              <w:ind w:left="437"/>
            </w:pPr>
            <w:r>
              <w:rPr>
                <w:spacing w:val="-2"/>
              </w:rPr>
              <w:t>420</w:t>
            </w:r>
          </w:p>
        </w:tc>
        <w:tc>
          <w:tcPr>
            <w:tcW w:w="1204" w:type="dxa"/>
            <w:vAlign w:val="top"/>
          </w:tcPr>
          <w:p>
            <w:pPr>
              <w:pStyle w:val="5"/>
              <w:spacing w:before="84" w:line="219" w:lineRule="auto"/>
              <w:ind w:left="539"/>
            </w:pPr>
            <w: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79" w:line="220" w:lineRule="auto"/>
              <w:ind w:left="142"/>
            </w:pPr>
            <w:r>
              <w:rPr>
                <w:spacing w:val="2"/>
              </w:rPr>
              <w:t>万元/亩</w:t>
            </w:r>
          </w:p>
        </w:tc>
        <w:tc>
          <w:tcPr>
            <w:tcW w:w="1228" w:type="dxa"/>
            <w:vAlign w:val="top"/>
          </w:tcPr>
          <w:p>
            <w:pPr>
              <w:pStyle w:val="5"/>
              <w:spacing w:before="141" w:line="179" w:lineRule="auto"/>
              <w:ind w:left="303"/>
            </w:pPr>
            <w:r>
              <w:rPr>
                <w:spacing w:val="-2"/>
              </w:rPr>
              <w:t>64.00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1" w:line="179" w:lineRule="auto"/>
              <w:ind w:left="315"/>
            </w:pPr>
            <w:r>
              <w:rPr>
                <w:spacing w:val="-2"/>
              </w:rPr>
              <w:t>44.67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41" w:line="179" w:lineRule="auto"/>
              <w:ind w:left="316"/>
            </w:pPr>
            <w:r>
              <w:rPr>
                <w:spacing w:val="-3"/>
              </w:rPr>
              <w:t>38.00</w:t>
            </w:r>
          </w:p>
        </w:tc>
        <w:tc>
          <w:tcPr>
            <w:tcW w:w="1238" w:type="dxa"/>
            <w:vAlign w:val="top"/>
          </w:tcPr>
          <w:p>
            <w:pPr>
              <w:pStyle w:val="5"/>
              <w:spacing w:before="141" w:line="179" w:lineRule="auto"/>
              <w:ind w:left="317"/>
            </w:pPr>
            <w:r>
              <w:rPr>
                <w:spacing w:val="-2"/>
              </w:rPr>
              <w:t>28.00</w:t>
            </w:r>
          </w:p>
        </w:tc>
        <w:tc>
          <w:tcPr>
            <w:tcW w:w="1204" w:type="dxa"/>
            <w:vAlign w:val="top"/>
          </w:tcPr>
          <w:p>
            <w:pPr>
              <w:pStyle w:val="5"/>
              <w:spacing w:before="85" w:line="222" w:lineRule="auto"/>
              <w:ind w:left="539"/>
            </w:pPr>
            <w:r>
              <w:t>/</w:t>
            </w:r>
          </w:p>
        </w:tc>
      </w:tr>
    </w:tbl>
    <w:p>
      <w:pPr>
        <w:spacing w:line="434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104" w:line="222" w:lineRule="auto"/>
        <w:ind w:left="649" w:leftChars="0" w:firstLine="0" w:firstLineChars="0"/>
        <w:outlineLvl w:val="0"/>
        <w:rPr>
          <w:rFonts w:ascii="黑体" w:hAnsi="黑体" w:eastAsia="黑体" w:cs="黑体"/>
          <w:b/>
          <w:bCs/>
          <w:spacing w:val="-4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基准地价定义</w:t>
      </w:r>
    </w:p>
    <w:p>
      <w:pPr>
        <w:numPr>
          <w:ilvl w:val="0"/>
          <w:numId w:val="0"/>
        </w:numPr>
        <w:spacing w:before="104" w:line="222" w:lineRule="auto"/>
        <w:ind w:firstLine="740" w:firstLineChars="200"/>
        <w:outlineLvl w:val="0"/>
        <w:rPr>
          <w:rFonts w:hint="eastAsia"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5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估价期日：2023年1月1日；</w:t>
      </w:r>
    </w:p>
    <w:p>
      <w:pPr>
        <w:ind w:firstLine="740" w:firstLineChars="200"/>
        <w:jc w:val="left"/>
        <w:rPr>
          <w:rFonts w:hint="eastAsia"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5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土地使用年期：40年(商服用地)、70年(住宅用地)、50年(工业用地、公共服务用地)；</w:t>
      </w:r>
    </w:p>
    <w:p>
      <w:pPr>
        <w:ind w:firstLine="740" w:firstLineChars="200"/>
        <w:jc w:val="left"/>
        <w:rPr>
          <w:rFonts w:hint="eastAsia"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5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容积率：1.5(商服用地)、1.8(住宅用地)、1.0(工业用地)；公共管理与公共服务用地符合宗地规划设计条件；</w:t>
      </w:r>
    </w:p>
    <w:p>
      <w:pPr>
        <w:ind w:firstLine="740" w:firstLineChars="200"/>
        <w:jc w:val="left"/>
        <w:rPr>
          <w:rFonts w:hint="eastAsia" w:ascii="仿宋_GB2312" w:hAnsi="仿宋_GB2312" w:eastAsia="仿宋_GB2312" w:cs="仿宋_GB2312"/>
          <w:spacing w:val="2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5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开发程度：宗地外“六通”(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通上水，通下水、通电、通讯、通气、通路)；宗地内“场平”(场地平整)；</w:t>
      </w:r>
    </w:p>
    <w:p>
      <w:pPr>
        <w:ind w:firstLine="7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5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25"/>
          <w:sz w:val="32"/>
          <w:szCs w:val="32"/>
        </w:rPr>
        <w:t>土地权利状况：出让土地使用权，无他项权利限制。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7542C"/>
    <w:multiLevelType w:val="singleLevel"/>
    <w:tmpl w:val="FE1754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mMzYWM4NTc2ZGRhYmIyOGM3NmNiMDlmMjdmYjEifQ=="/>
  </w:docVars>
  <w:rsids>
    <w:rsidRoot w:val="00000000"/>
    <w:rsid w:val="11685612"/>
    <w:rsid w:val="6B6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2023-12-13T03:04:00Z</dcterms:created>
  <dc:creator>Administrator</dc:creator>
  <cp:lastModifiedBy>sharrie</cp:lastModifiedBy>
  <dcterms:modified xsi:type="dcterms:W3CDTF">2023-12-13T03:08:13Z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A3C5AE105F50477FB8A4BCB8762C83BC_12</vt:lpwstr>
  </property>
</Properties>
</file>