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F4413">
      <w:pPr>
        <w:adjustRightInd w:val="0"/>
        <w:snapToGrid w:val="0"/>
        <w:spacing w:line="600" w:lineRule="exact"/>
        <w:outlineLvl w:val="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p>
    <w:p w14:paraId="18B01D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spacing w:val="-11"/>
          <w:sz w:val="20"/>
          <w:szCs w:val="21"/>
        </w:rPr>
      </w:pPr>
      <w:r>
        <w:rPr>
          <w:rFonts w:hint="eastAsia" w:ascii="方正小标宋简体" w:hAnsi="方正小标宋简体" w:eastAsia="方正小标宋简体" w:cs="方正小标宋简体"/>
          <w:color w:val="000000"/>
          <w:spacing w:val="-11"/>
          <w:sz w:val="32"/>
          <w:szCs w:val="32"/>
        </w:rPr>
        <w:t>《凉山木里沙湾一期风电项目压覆矿产资源评估报告》矿产资源储量评审备案公示信息表</w:t>
      </w:r>
    </w:p>
    <w:tbl>
      <w:tblPr>
        <w:tblStyle w:val="6"/>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0"/>
        <w:gridCol w:w="8274"/>
      </w:tblGrid>
      <w:tr w14:paraId="1943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600" w:type="dxa"/>
            <w:noWrap w:val="0"/>
            <w:vAlign w:val="center"/>
          </w:tcPr>
          <w:p w14:paraId="1A4E2308">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申请人</w:t>
            </w:r>
          </w:p>
        </w:tc>
        <w:tc>
          <w:tcPr>
            <w:tcW w:w="8274" w:type="dxa"/>
            <w:noWrap w:val="0"/>
            <w:vAlign w:val="center"/>
          </w:tcPr>
          <w:p w14:paraId="59B0DE63">
            <w:pPr>
              <w:keepNext w:val="0"/>
              <w:keepLines w:val="0"/>
              <w:suppressLineNumbers w:val="0"/>
              <w:spacing w:before="0" w:beforeAutospacing="0" w:after="0" w:afterAutospacing="0" w:line="240" w:lineRule="auto"/>
              <w:ind w:left="0" w:right="0"/>
              <w:jc w:val="center"/>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四川华电木里唐央新能源有限公司</w:t>
            </w:r>
          </w:p>
        </w:tc>
      </w:tr>
      <w:tr w14:paraId="5A02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jc w:val="center"/>
        </w:trPr>
        <w:tc>
          <w:tcPr>
            <w:tcW w:w="1600" w:type="dxa"/>
            <w:noWrap w:val="0"/>
            <w:vAlign w:val="center"/>
          </w:tcPr>
          <w:p w14:paraId="76F150A7">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报告名称</w:t>
            </w:r>
          </w:p>
        </w:tc>
        <w:tc>
          <w:tcPr>
            <w:tcW w:w="8274" w:type="dxa"/>
            <w:noWrap w:val="0"/>
            <w:vAlign w:val="center"/>
          </w:tcPr>
          <w:p w14:paraId="300E7671">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《凉山木里沙湾一期风电项目压覆矿产资源评估报告》</w:t>
            </w:r>
          </w:p>
        </w:tc>
      </w:tr>
      <w:tr w14:paraId="539E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jc w:val="center"/>
        </w:trPr>
        <w:tc>
          <w:tcPr>
            <w:tcW w:w="1600" w:type="dxa"/>
            <w:noWrap w:val="0"/>
            <w:vAlign w:val="center"/>
          </w:tcPr>
          <w:p w14:paraId="51402DA4">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报告编制单位</w:t>
            </w:r>
          </w:p>
        </w:tc>
        <w:tc>
          <w:tcPr>
            <w:tcW w:w="8274" w:type="dxa"/>
            <w:noWrap w:val="0"/>
            <w:vAlign w:val="center"/>
          </w:tcPr>
          <w:p w14:paraId="71A8D479">
            <w:pPr>
              <w:keepNext w:val="0"/>
              <w:keepLines w:val="0"/>
              <w:suppressLineNumbers w:val="0"/>
              <w:spacing w:before="0" w:beforeAutospacing="0" w:after="0" w:afterAutospacing="0" w:line="240" w:lineRule="auto"/>
              <w:ind w:left="0" w:right="0"/>
              <w:jc w:val="center"/>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四川省第二地质大队</w:t>
            </w:r>
          </w:p>
        </w:tc>
      </w:tr>
      <w:tr w14:paraId="0C854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1600" w:type="dxa"/>
            <w:noWrap w:val="0"/>
            <w:vAlign w:val="center"/>
          </w:tcPr>
          <w:p w14:paraId="19BBB5A7">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主要编写人员</w:t>
            </w:r>
          </w:p>
        </w:tc>
        <w:tc>
          <w:tcPr>
            <w:tcW w:w="8274" w:type="dxa"/>
            <w:noWrap w:val="0"/>
            <w:vAlign w:val="center"/>
          </w:tcPr>
          <w:p w14:paraId="16CF5BD8">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许</w:t>
            </w:r>
            <w:r>
              <w:rPr>
                <w:rFonts w:hint="eastAsia" w:eastAsia="仿宋_GB2312" w:cs="Times New Roman"/>
                <w:color w:val="000000"/>
                <w:sz w:val="21"/>
                <w:szCs w:val="21"/>
                <w:lang w:val="en-US" w:eastAsia="zh-CN"/>
              </w:rPr>
              <w:t xml:space="preserve"> </w:t>
            </w:r>
            <w:r>
              <w:rPr>
                <w:rFonts w:hint="eastAsia" w:ascii="Times New Roman" w:hAnsi="Times New Roman" w:eastAsia="仿宋_GB2312" w:cs="Times New Roman"/>
                <w:color w:val="000000"/>
                <w:sz w:val="21"/>
                <w:szCs w:val="21"/>
                <w:lang w:val="en-US" w:eastAsia="zh-CN"/>
              </w:rPr>
              <w:t xml:space="preserve">威 </w:t>
            </w:r>
            <w:r>
              <w:rPr>
                <w:rFonts w:hint="eastAsia" w:eastAsia="仿宋_GB2312" w:cs="Times New Roman"/>
                <w:color w:val="000000"/>
                <w:sz w:val="21"/>
                <w:szCs w:val="21"/>
                <w:lang w:val="en-US" w:eastAsia="zh-CN"/>
              </w:rPr>
              <w:t xml:space="preserve"> </w:t>
            </w:r>
            <w:r>
              <w:rPr>
                <w:rFonts w:hint="eastAsia" w:ascii="Times New Roman" w:hAnsi="Times New Roman" w:eastAsia="仿宋_GB2312" w:cs="Times New Roman"/>
                <w:color w:val="000000"/>
                <w:sz w:val="21"/>
                <w:szCs w:val="21"/>
                <w:lang w:val="en-US" w:eastAsia="zh-CN"/>
              </w:rPr>
              <w:t xml:space="preserve">王家康 </w:t>
            </w:r>
            <w:r>
              <w:rPr>
                <w:rFonts w:hint="eastAsia" w:eastAsia="仿宋_GB2312" w:cs="Times New Roman"/>
                <w:color w:val="000000"/>
                <w:sz w:val="21"/>
                <w:szCs w:val="21"/>
                <w:lang w:val="en-US" w:eastAsia="zh-CN"/>
              </w:rPr>
              <w:t xml:space="preserve"> </w:t>
            </w:r>
            <w:r>
              <w:rPr>
                <w:rFonts w:hint="eastAsia" w:ascii="Times New Roman" w:hAnsi="Times New Roman" w:eastAsia="仿宋_GB2312" w:cs="Times New Roman"/>
                <w:color w:val="000000"/>
                <w:sz w:val="21"/>
                <w:szCs w:val="21"/>
                <w:lang w:val="en-US" w:eastAsia="zh-CN"/>
              </w:rPr>
              <w:t>曾</w:t>
            </w:r>
            <w:r>
              <w:rPr>
                <w:rFonts w:hint="eastAsia" w:eastAsia="仿宋_GB2312" w:cs="Times New Roman"/>
                <w:color w:val="000000"/>
                <w:sz w:val="21"/>
                <w:szCs w:val="21"/>
                <w:lang w:val="en-US" w:eastAsia="zh-CN"/>
              </w:rPr>
              <w:t xml:space="preserve"> </w:t>
            </w:r>
            <w:r>
              <w:rPr>
                <w:rFonts w:hint="eastAsia" w:ascii="Times New Roman" w:hAnsi="Times New Roman" w:eastAsia="仿宋_GB2312" w:cs="Times New Roman"/>
                <w:color w:val="000000"/>
                <w:sz w:val="21"/>
                <w:szCs w:val="21"/>
                <w:lang w:val="en-US" w:eastAsia="zh-CN"/>
              </w:rPr>
              <w:t>刚</w:t>
            </w:r>
            <w:r>
              <w:rPr>
                <w:rFonts w:hint="eastAsia" w:eastAsia="仿宋_GB2312" w:cs="Times New Roman"/>
                <w:color w:val="000000"/>
                <w:sz w:val="21"/>
                <w:szCs w:val="21"/>
                <w:lang w:val="en-US" w:eastAsia="zh-CN"/>
              </w:rPr>
              <w:t xml:space="preserve"> 等</w:t>
            </w:r>
          </w:p>
        </w:tc>
      </w:tr>
      <w:tr w14:paraId="5B3B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1600" w:type="dxa"/>
            <w:noWrap w:val="0"/>
            <w:vAlign w:val="center"/>
          </w:tcPr>
          <w:p w14:paraId="2F781096">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矿业权证号</w:t>
            </w:r>
          </w:p>
        </w:tc>
        <w:tc>
          <w:tcPr>
            <w:tcW w:w="8274" w:type="dxa"/>
            <w:noWrap w:val="0"/>
            <w:vAlign w:val="center"/>
          </w:tcPr>
          <w:p w14:paraId="56399647">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14:paraId="56D4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1600" w:type="dxa"/>
            <w:noWrap w:val="0"/>
            <w:vAlign w:val="center"/>
          </w:tcPr>
          <w:p w14:paraId="2712D018">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矿业权人名称</w:t>
            </w:r>
          </w:p>
        </w:tc>
        <w:tc>
          <w:tcPr>
            <w:tcW w:w="8274" w:type="dxa"/>
            <w:noWrap w:val="0"/>
            <w:vAlign w:val="center"/>
          </w:tcPr>
          <w:p w14:paraId="0485F9B2">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14:paraId="2FF1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1600" w:type="dxa"/>
            <w:noWrap w:val="0"/>
            <w:vAlign w:val="center"/>
          </w:tcPr>
          <w:p w14:paraId="64D2B107">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评审机构</w:t>
            </w:r>
          </w:p>
        </w:tc>
        <w:tc>
          <w:tcPr>
            <w:tcW w:w="8274" w:type="dxa"/>
            <w:noWrap w:val="0"/>
            <w:vAlign w:val="center"/>
          </w:tcPr>
          <w:p w14:paraId="6831A094">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四川省矿产资源储量评审中心</w:t>
            </w:r>
          </w:p>
        </w:tc>
      </w:tr>
      <w:tr w14:paraId="116A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1600" w:type="dxa"/>
            <w:noWrap w:val="0"/>
            <w:vAlign w:val="center"/>
          </w:tcPr>
          <w:p w14:paraId="07520179">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评审专家</w:t>
            </w:r>
          </w:p>
        </w:tc>
        <w:tc>
          <w:tcPr>
            <w:tcW w:w="8274" w:type="dxa"/>
            <w:noWrap w:val="0"/>
            <w:vAlign w:val="center"/>
          </w:tcPr>
          <w:p w14:paraId="681C95E2">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b w:val="0"/>
                <w:bCs w:val="0"/>
                <w:color w:val="000000"/>
                <w:sz w:val="21"/>
                <w:szCs w:val="21"/>
                <w:lang w:val="en-US" w:eastAsia="zh-CN"/>
              </w:rPr>
            </w:pPr>
            <w:r>
              <w:rPr>
                <w:rFonts w:hint="eastAsia" w:eastAsia="仿宋_GB2312" w:cs="Times New Roman"/>
                <w:b w:val="0"/>
                <w:bCs w:val="0"/>
                <w:color w:val="000000"/>
                <w:sz w:val="21"/>
                <w:szCs w:val="21"/>
                <w:lang w:val="en-US" w:eastAsia="zh-CN"/>
              </w:rPr>
              <w:t>胡夕鹏  赖贤友  王 林</w:t>
            </w:r>
          </w:p>
        </w:tc>
      </w:tr>
      <w:tr w14:paraId="4F44C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1600" w:type="dxa"/>
            <w:noWrap w:val="0"/>
            <w:vAlign w:val="center"/>
          </w:tcPr>
          <w:p w14:paraId="254CF35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eastAsia" w:ascii="仿宋_GB2312" w:hAnsi="仿宋_GB2312" w:eastAsia="仿宋_GB2312" w:cs="仿宋_GB2312"/>
                <w:color w:val="000000"/>
                <w:sz w:val="21"/>
                <w:szCs w:val="21"/>
                <w:lang w:val="en-US" w:eastAsia="zh-CN"/>
              </w:rPr>
              <w:t>工程压覆影响范围</w:t>
            </w:r>
          </w:p>
        </w:tc>
        <w:tc>
          <w:tcPr>
            <w:tcW w:w="8274" w:type="dxa"/>
            <w:noWrap w:val="0"/>
            <w:vAlign w:val="center"/>
          </w:tcPr>
          <w:p w14:paraId="5688ACCC">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20" w:firstLineChars="200"/>
              <w:jc w:val="both"/>
              <w:textAlignment w:val="auto"/>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压覆平面范围由工程用地范围、围护带宽度、移动角及变形计算深度圈定。围护带宽度：15m；移动角参数：走向移动角δ=70°、上山移动角γ=70°、下山移动角β=57°；变形计算深度：拟建工程地面标高以下200m；压覆平面范围：风电机组和箱式变电站以用地范围外接矩形外延围护带宽度、升压站以用地范围外延围护带宽度，之后按下山移动角向下延伸变形计算深度后竖直投影至地表圈定的范围；压覆深度：压覆平面范围内已查明矿产资源估算的最低深度。</w:t>
            </w:r>
          </w:p>
        </w:tc>
      </w:tr>
      <w:tr w14:paraId="2905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600" w:type="dxa"/>
            <w:noWrap w:val="0"/>
            <w:vAlign w:val="center"/>
          </w:tcPr>
          <w:p w14:paraId="15905E6B">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评审备案目的</w:t>
            </w:r>
          </w:p>
        </w:tc>
        <w:tc>
          <w:tcPr>
            <w:tcW w:w="8274" w:type="dxa"/>
            <w:noWrap w:val="0"/>
            <w:vAlign w:val="center"/>
          </w:tcPr>
          <w:p w14:paraId="7BF7FB28">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建设项目压覆重要矿产</w:t>
            </w:r>
          </w:p>
        </w:tc>
      </w:tr>
      <w:tr w14:paraId="5366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600" w:type="dxa"/>
            <w:noWrap w:val="0"/>
            <w:vAlign w:val="center"/>
          </w:tcPr>
          <w:p w14:paraId="361324C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w:t>
            </w:r>
          </w:p>
          <w:p w14:paraId="769C9B94">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w:t>
            </w:r>
            <w:r>
              <w:rPr>
                <w:rFonts w:hint="default" w:ascii="Times New Roman" w:hAnsi="Times New Roman" w:eastAsia="仿宋_GB2312" w:cs="Times New Roman"/>
                <w:color w:val="000000"/>
                <w:sz w:val="21"/>
                <w:szCs w:val="21"/>
                <w:lang w:eastAsia="zh-CN"/>
              </w:rPr>
              <w:t>种</w:t>
            </w:r>
            <w:r>
              <w:rPr>
                <w:rFonts w:hint="default" w:ascii="Times New Roman" w:hAnsi="Times New Roman" w:eastAsia="仿宋_GB2312" w:cs="Times New Roman"/>
                <w:color w:val="000000"/>
                <w:sz w:val="21"/>
                <w:szCs w:val="21"/>
              </w:rPr>
              <w:t>名称</w:t>
            </w:r>
          </w:p>
        </w:tc>
        <w:tc>
          <w:tcPr>
            <w:tcW w:w="8274" w:type="dxa"/>
            <w:noWrap w:val="0"/>
            <w:vAlign w:val="center"/>
          </w:tcPr>
          <w:p w14:paraId="00D412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14:paraId="62C9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600" w:type="dxa"/>
            <w:noWrap w:val="0"/>
            <w:vAlign w:val="center"/>
          </w:tcPr>
          <w:p w14:paraId="068AEFB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评审备案资源储量</w:t>
            </w:r>
          </w:p>
        </w:tc>
        <w:tc>
          <w:tcPr>
            <w:tcW w:w="8274" w:type="dxa"/>
            <w:noWrap w:val="0"/>
            <w:vAlign w:val="center"/>
          </w:tcPr>
          <w:p w14:paraId="33AD4682">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20" w:firstLineChars="200"/>
              <w:jc w:val="both"/>
              <w:textAlignment w:val="auto"/>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评审评定，拟建凉山木里沙湾一期风电项目未压覆已查明重要矿产资源。</w:t>
            </w:r>
            <w:bookmarkStart w:id="0" w:name="_GoBack"/>
            <w:bookmarkEnd w:id="0"/>
          </w:p>
        </w:tc>
      </w:tr>
      <w:tr w14:paraId="40A30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jc w:val="center"/>
        </w:trPr>
        <w:tc>
          <w:tcPr>
            <w:tcW w:w="1600" w:type="dxa"/>
            <w:noWrap w:val="0"/>
            <w:vAlign w:val="center"/>
          </w:tcPr>
          <w:p w14:paraId="520F955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其他</w:t>
            </w:r>
          </w:p>
        </w:tc>
        <w:tc>
          <w:tcPr>
            <w:tcW w:w="8274" w:type="dxa"/>
            <w:noWrap w:val="0"/>
            <w:vAlign w:val="center"/>
          </w:tcPr>
          <w:p w14:paraId="1BD578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仿宋_GB2312"/>
                <w:snapToGrid w:val="0"/>
                <w:color w:val="auto"/>
                <w:kern w:val="2"/>
                <w:sz w:val="21"/>
                <w:szCs w:val="21"/>
                <w:lang w:val="en-US" w:eastAsia="zh-CN" w:bidi="ar-SA"/>
              </w:rPr>
              <w:t>本报告的项目负责人为许威。经调查核实，拟建项目压覆范围内存在已查明重要矿产资源矿产地1处</w:t>
            </w:r>
            <w:r>
              <w:rPr>
                <w:rFonts w:hint="eastAsia" w:eastAsia="仿宋_GB2312" w:cs="仿宋_GB2312"/>
                <w:snapToGrid w:val="0"/>
                <w:color w:val="auto"/>
                <w:kern w:val="2"/>
                <w:sz w:val="21"/>
                <w:szCs w:val="21"/>
                <w:lang w:val="en-US" w:eastAsia="zh-CN" w:bidi="ar-SA"/>
              </w:rPr>
              <w:t>（四川省木里县梭罗-挖金沟岩金矿区）</w:t>
            </w:r>
            <w:r>
              <w:rPr>
                <w:rFonts w:hint="eastAsia" w:ascii="Times New Roman" w:hAnsi="Times New Roman" w:eastAsia="仿宋_GB2312" w:cs="仿宋_GB2312"/>
                <w:snapToGrid w:val="0"/>
                <w:color w:val="auto"/>
                <w:kern w:val="2"/>
                <w:sz w:val="21"/>
                <w:szCs w:val="21"/>
                <w:lang w:val="en-US" w:eastAsia="zh-CN" w:bidi="ar-SA"/>
              </w:rPr>
              <w:t>，探矿权5宗</w:t>
            </w:r>
            <w:r>
              <w:rPr>
                <w:rFonts w:hint="eastAsia" w:eastAsia="仿宋_GB2312" w:cs="仿宋_GB2312"/>
                <w:snapToGrid w:val="0"/>
                <w:color w:val="auto"/>
                <w:kern w:val="2"/>
                <w:sz w:val="21"/>
                <w:szCs w:val="21"/>
                <w:lang w:val="en-US" w:eastAsia="zh-CN" w:bidi="ar-SA"/>
              </w:rPr>
              <w:t>（四川省木里县梭罗-挖金沟岩金矿详查、四川省木里县各依金矿普查、四川省木里县住古拐金矿普查、四川省木里县烟依金矿详查、四川省木里县烟依金矿普查）</w:t>
            </w:r>
            <w:r>
              <w:rPr>
                <w:rFonts w:hint="eastAsia" w:ascii="Times New Roman" w:hAnsi="Times New Roman" w:eastAsia="仿宋_GB2312" w:cs="仿宋_GB2312"/>
                <w:snapToGrid w:val="0"/>
                <w:color w:val="auto"/>
                <w:kern w:val="2"/>
                <w:sz w:val="21"/>
                <w:szCs w:val="21"/>
                <w:lang w:val="en-US" w:eastAsia="zh-CN" w:bidi="ar-SA"/>
              </w:rPr>
              <w:t>。</w:t>
            </w:r>
          </w:p>
        </w:tc>
      </w:tr>
    </w:tbl>
    <w:p w14:paraId="1B3BBEFB">
      <w:pPr>
        <w:pStyle w:val="2"/>
        <w:ind w:left="0" w:leftChars="0" w:firstLine="0" w:firstLineChars="0"/>
      </w:pPr>
    </w:p>
    <w:p w14:paraId="1C274DC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A56F62-4DBF-400D-8375-9BABA02FB6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FF1BD36-C86A-47CB-8B23-FAAEF898CEA7}"/>
  </w:font>
  <w:font w:name="方正小标宋简体">
    <w:panose1 w:val="02000000000000000000"/>
    <w:charset w:val="86"/>
    <w:family w:val="auto"/>
    <w:pitch w:val="default"/>
    <w:sig w:usb0="00000001" w:usb1="08000000" w:usb2="00000000" w:usb3="00000000" w:csb0="00040000" w:csb1="00000000"/>
    <w:embedRegular r:id="rId3" w:fontKey="{61B8DCDD-B5AE-4608-9EBA-1CCB5BF8220A}"/>
  </w:font>
  <w:font w:name="仿宋_GB2312">
    <w:panose1 w:val="02010609030101010101"/>
    <w:charset w:val="86"/>
    <w:family w:val="modern"/>
    <w:pitch w:val="default"/>
    <w:sig w:usb0="00000001" w:usb1="080E0000" w:usb2="00000000" w:usb3="00000000" w:csb0="00040000" w:csb1="00000000"/>
    <w:embedRegular r:id="rId4" w:fontKey="{8D64CF7E-8338-4043-B392-DEB9DE91036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0333E"/>
    <w:rsid w:val="018146A7"/>
    <w:rsid w:val="01FC6575"/>
    <w:rsid w:val="05E76014"/>
    <w:rsid w:val="06456265"/>
    <w:rsid w:val="07C02047"/>
    <w:rsid w:val="0A595E3B"/>
    <w:rsid w:val="0EEA4D7C"/>
    <w:rsid w:val="16CB00C0"/>
    <w:rsid w:val="1F3C6AC0"/>
    <w:rsid w:val="1FD22871"/>
    <w:rsid w:val="241646BB"/>
    <w:rsid w:val="272A498F"/>
    <w:rsid w:val="284918AF"/>
    <w:rsid w:val="2C2A3DBD"/>
    <w:rsid w:val="34E82DE4"/>
    <w:rsid w:val="35336CF3"/>
    <w:rsid w:val="378856A3"/>
    <w:rsid w:val="3B631895"/>
    <w:rsid w:val="42D62BBE"/>
    <w:rsid w:val="459B24FF"/>
    <w:rsid w:val="485A6BE0"/>
    <w:rsid w:val="4CB7475D"/>
    <w:rsid w:val="4DC34073"/>
    <w:rsid w:val="531B5950"/>
    <w:rsid w:val="558C043F"/>
    <w:rsid w:val="55CE0A58"/>
    <w:rsid w:val="55E940FB"/>
    <w:rsid w:val="58112E7E"/>
    <w:rsid w:val="58C36557"/>
    <w:rsid w:val="5A023C26"/>
    <w:rsid w:val="5A4F2C72"/>
    <w:rsid w:val="5A9C41B2"/>
    <w:rsid w:val="5BB932CB"/>
    <w:rsid w:val="5BFD54D9"/>
    <w:rsid w:val="61031871"/>
    <w:rsid w:val="672B012F"/>
    <w:rsid w:val="6D771841"/>
    <w:rsid w:val="6E066F89"/>
    <w:rsid w:val="740E335C"/>
    <w:rsid w:val="76254DF7"/>
    <w:rsid w:val="79554E68"/>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宋体" w:hAnsi="宋体" w:eastAsia="宋体" w:cs="宋体"/>
      <w:kern w:val="2"/>
      <w:sz w:val="28"/>
      <w:szCs w:val="28"/>
      <w:lang w:val="en-US" w:eastAsia="zh-CN" w:bidi="ar"/>
    </w:rPr>
  </w:style>
  <w:style w:type="paragraph" w:styleId="3">
    <w:name w:val="Body Text Indent"/>
    <w:basedOn w:val="1"/>
    <w:qFormat/>
    <w:uiPriority w:val="0"/>
    <w:pPr>
      <w:ind w:firstLine="538" w:firstLineChars="192"/>
    </w:pPr>
    <w:rPr>
      <w:rFonts w:ascii="宋体" w:hAnsi="宋体"/>
      <w:sz w:val="28"/>
    </w:rPr>
  </w:style>
  <w:style w:type="paragraph" w:styleId="4">
    <w:name w:val="index 5"/>
    <w:basedOn w:val="1"/>
    <w:next w:val="1"/>
    <w:qFormat/>
    <w:uiPriority w:val="0"/>
    <w:pPr>
      <w:ind w:left="800" w:leftChars="800"/>
    </w:pPr>
  </w:style>
  <w:style w:type="paragraph" w:styleId="5">
    <w:name w:val="Plain Text"/>
    <w:basedOn w:val="1"/>
    <w:next w:val="4"/>
    <w:qFormat/>
    <w:uiPriority w:val="0"/>
    <w:rPr>
      <w:rFonts w:ascii="宋体" w:hAnsi="Courier New"/>
    </w:rPr>
  </w:style>
  <w:style w:type="paragraph" w:customStyle="1" w:styleId="8">
    <w:name w:val="评价报告正文"/>
    <w:basedOn w:val="1"/>
    <w:qFormat/>
    <w:uiPriority w:val="0"/>
    <w:pPr>
      <w:spacing w:line="360" w:lineRule="auto"/>
      <w:ind w:firstLine="560"/>
    </w:pPr>
    <w:rPr>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484</Words>
  <Characters>500</Characters>
  <Lines>0</Lines>
  <Paragraphs>0</Paragraphs>
  <TotalTime>0</TotalTime>
  <ScaleCrop>false</ScaleCrop>
  <LinksUpToDate>false</LinksUpToDate>
  <CharactersWithSpaces>510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2025-08-26T04:57:00Z</dcterms:created>
  <dc:creator>袁珊</dc:creator>
  <cp:lastModifiedBy>李龙</cp:lastModifiedBy>
  <dcterms:modified xsi:type="dcterms:W3CDTF">2025-11-05T09:38:09Z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eyJoZGlkIjoiOWQwMTdmMTIxNzM4ZWE5ODM3NGY5MmMyNmE5MzZmYWQiLCJ1c2VySWQiOiIxNzIyNTIwMTMxIn0=</vt:lpwstr>
  </property>
  <property fmtid="{D5CDD505-2E9C-101B-9397-08002B2CF9AE}" pid="4" name="ICV">
    <vt:lpwstr>8F6FA5A4577A49458924E0DFF8824132_12</vt:lpwstr>
  </property>
</Properties>
</file>