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0" w:firstLineChars="0"/>
        <w:jc w:val="left"/>
        <w:textAlignment w:val="auto"/>
        <w:outlineLvl w:val="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附件</w:t>
      </w:r>
      <w:r>
        <w:rPr>
          <w:rFonts w:hint="eastAsia" w:ascii="Times New Roman" w:hAnsi="Times New Roman" w:eastAsia="黑体" w:cs="Times New Roman"/>
          <w:color w:val="auto"/>
          <w:sz w:val="32"/>
          <w:szCs w:val="32"/>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after="120" w:line="600" w:lineRule="exact"/>
        <w:ind w:firstLine="0" w:firstLineChars="0"/>
        <w:jc w:val="center"/>
        <w:textAlignment w:val="auto"/>
        <w:rPr>
          <w:rFonts w:hint="default" w:ascii="Times New Roman" w:hAnsi="Times New Roman" w:eastAsia="方正小标宋简体" w:cs="Times New Roman"/>
          <w:color w:val="auto"/>
          <w:kern w:val="2"/>
          <w:sz w:val="44"/>
          <w:szCs w:val="44"/>
          <w:highlight w:val="none"/>
          <w:u w:val="none"/>
          <w:lang w:val="en-US" w:eastAsia="zh-CN" w:bidi="ar-SA"/>
          <w14:ligatures w14:val="none"/>
        </w:rPr>
      </w:pPr>
      <w:r>
        <w:rPr>
          <w:rFonts w:hint="default" w:ascii="Times New Roman" w:hAnsi="Times New Roman" w:eastAsia="方正小标宋简体" w:cs="Times New Roman"/>
          <w:color w:val="auto"/>
          <w:kern w:val="2"/>
          <w:sz w:val="44"/>
          <w:szCs w:val="44"/>
          <w:highlight w:val="none"/>
          <w:u w:val="none"/>
          <w:lang w:val="en-US" w:eastAsia="zh-CN" w:bidi="ar-SA"/>
          <w14:ligatures w14:val="none"/>
        </w:rPr>
        <w:t>优秀应用案例名单</w:t>
      </w:r>
    </w:p>
    <w:p>
      <w:pPr>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eastAsia="仿宋_GB2312"/>
          <w:kern w:val="0"/>
          <w:sz w:val="32"/>
          <w:lang w:val="en-US" w:eastAsia="zh-CN"/>
        </w:rPr>
      </w:pPr>
    </w:p>
    <w:tbl>
      <w:tblPr>
        <w:tblStyle w:val="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39"/>
        <w:gridCol w:w="1765"/>
        <w:gridCol w:w="2211"/>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1" w:hRule="atLeast"/>
          <w:tblHeader/>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t>序号</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t>案例名称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t>申报单位</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pacing w:val="0"/>
                <w:sz w:val="24"/>
                <w:szCs w:val="24"/>
                <w:highlight w:val="none"/>
                <w:lang w:val="en-US" w:eastAsia="zh-CN"/>
                <w14:textFill>
                  <w14:solidFill>
                    <w14:schemeClr w14:val="tx1"/>
                  </w14:solidFill>
                </w14:textFill>
              </w:rPr>
              <w:t>内容和成效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实景三维支撑重大灾害应急</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自然资源部四川基础地理信息中心</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整合集成全省高精度基础地理信息数据，构建四川省三维地理</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信息</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应急服务平台，为政府和应急管理部门了解灾情、指挥决策和应急救援提供精准和智能化的测绘</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地</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理信息服务。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2</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冕宁县彝海镇曹古村土地综合整治实景三维项目</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旭普云智慧空间信息技术有限公司、四川省国土整治中心、四川省土地发展集团有限责任公司</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建立实景三维模型，基于数据平台提供统一数据服务，支撑土地整治工作。实现了对土地整理项目的全方位、全过程监管，</w:t>
            </w:r>
            <w:r>
              <w:rPr>
                <w:rFonts w:hint="eastAsia" w:ascii="Times New Roman" w:hAnsi="Times New Roman" w:cs="Times New Roman"/>
                <w:color w:val="000000" w:themeColor="text1"/>
                <w:sz w:val="24"/>
                <w:highlight w:val="none"/>
                <w14:textFill>
                  <w14:solidFill>
                    <w14:schemeClr w14:val="tx1"/>
                  </w14:solidFill>
                </w14:textFill>
              </w:rPr>
              <w:t>提高了土地整理项目管理水平和</w:t>
            </w:r>
            <w:r>
              <w:rPr>
                <w:rFonts w:hint="eastAsia" w:ascii="Times New Roman" w:hAnsi="Times New Roman" w:cs="Times New Roman"/>
                <w:color w:val="000000" w:themeColor="text1"/>
                <w:sz w:val="24"/>
                <w:highlight w:val="none"/>
                <w:lang w:val="en-US" w:eastAsia="zh-CN"/>
                <w14:textFill>
                  <w14:solidFill>
                    <w14:schemeClr w14:val="tx1"/>
                  </w14:solidFill>
                </w14:textFill>
              </w:rPr>
              <w:t>工作</w:t>
            </w:r>
            <w:r>
              <w:rPr>
                <w:rFonts w:hint="eastAsia" w:ascii="Times New Roman" w:hAnsi="Times New Roman" w:cs="Times New Roman"/>
                <w:color w:val="000000" w:themeColor="text1"/>
                <w:sz w:val="24"/>
                <w:highlight w:val="none"/>
                <w14:textFill>
                  <w14:solidFill>
                    <w14:schemeClr w14:val="tx1"/>
                  </w14:solidFill>
                </w14:textFill>
              </w:rPr>
              <w:t>效率</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3</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成都东部新区三维数字城市建设项目</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成都市勘察测绘研究院</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建设三维数字城市基础数据库，制作高质量渲染场景模型，为“云上一座城”打造数据基础，为东部新区城市规划、城市管理、智慧招商等提供技术保障。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4</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四川黄河上游若尔盖草原湿地山水林田湖草沙冰一体化保护和修复工程实景三维监测监管技术支撑应用服务研究</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四川省地质大数据中心、四川省综合地质调查研究所、四川省地质调查研究院测绘地理信息中心、四川省核地质调查研究所</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获取了若尔盖山水工程及其示范子项目“全生命周期”修复治理进展及成效信息，建设智慧监管系统，实现了生态修复绩效目标、工程质量、修复成效等现状及变化信息精准识别和大数据快速评价预警，极大提升监测监管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5</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邛崃市1：500系列数字测绘产品生产与更新服务实景三维项目</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旭普云智慧空间信息技术有限公司、邛崃市规划和自然资源局</w:t>
            </w:r>
          </w:p>
        </w:tc>
        <w:tc>
          <w:tcPr>
            <w:tcW w:w="2348" w:type="pct"/>
            <w:shd w:val="clear" w:color="auto" w:fill="auto"/>
            <w:noWrap w:val="0"/>
            <w:vAlign w:val="center"/>
          </w:tcPr>
          <w:p>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基于实景三维模型，采用UE引擎开发三维应用基础平台，动态配置管理自然资源涉及的各类地上地下、现状未来的矢量和规划数据，通过三维可视化方式实现自然资源数据的信息化监管。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6</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攀枝花市国土空间基础信息平台和规划“一张图”实施监督信息系统建设项目</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四川中测天翔遥感技术有限责任公司、攀枝花市自然资源和规划局</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完成</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测区内地形图、数字正射影像、</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数字高程模型</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和三维实景模型生产</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，数据库建设及</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系统平台设计开发。实现测绘成果的共享和不同部门之间的协同工作，提高工作效率。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7</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宜宾市三维辅助规划决策</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宜宾市自然资源和规划局</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搭建</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地形级和城市级实景三维场景</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，完成</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部分区域地下管线建模，聚合二三维、地上地下数据，实现三维辅助规划分析</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为高铁片区国际征集城市设计、双城规划等</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多项</w:t>
            </w:r>
            <w:r>
              <w:rPr>
                <w:rFonts w:hint="eastAsia" w:ascii="Times New Roman" w:hAnsi="Times New Roman" w:eastAsia="仿宋_GB2312" w:cs="Times New Roman"/>
                <w:color w:val="000000" w:themeColor="text1"/>
                <w:spacing w:val="0"/>
                <w:kern w:val="2"/>
                <w:sz w:val="24"/>
                <w:szCs w:val="24"/>
                <w:highlight w:val="none"/>
                <w:lang w:val="en-US" w:eastAsia="zh-CN" w:bidi="ar-SA"/>
                <w14:textFill>
                  <w14:solidFill>
                    <w14:schemeClr w14:val="tx1"/>
                  </w14:solidFill>
                </w14:textFill>
              </w:rPr>
              <w:t>规划议题的汇报提供强有力支撑</w:t>
            </w:r>
            <w:r>
              <w:rPr>
                <w:rFonts w:hint="eastAsia" w:ascii="Times New Roman" w:hAnsi="Times New Roman" w:cs="Times New Roman"/>
                <w:color w:val="000000" w:themeColor="text1"/>
                <w:spacing w:val="0"/>
                <w:kern w:val="2"/>
                <w:sz w:val="24"/>
                <w:szCs w:val="24"/>
                <w:highlight w:val="none"/>
                <w:lang w:val="en-US" w:eastAsia="zh-CN" w:bidi="ar-SA"/>
                <w14:textFill>
                  <w14:solidFill>
                    <w14:schemeClr w14:val="tx1"/>
                  </w14:solidFill>
                </w14:textFill>
              </w:rPr>
              <w:t>，提升了规划决策的直观性、科学性和合理性。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8</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卧牛坪矿山数字化矿山建设工程</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成都天利伟图科技有限公司、北京四维益友信息技术有限公司</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基于</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卧牛坪矿山实景三维</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模型</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构建绿色矿山三维可视化管理平台</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，融合矿山物联感知、地质等数据，开展数据分析，全方位提升矿山的数字化、智能化运营效率和安全水平，为矿山管理决策提供科学依据。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9</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避险搬迁实景三维应用系统</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四川省自然资源勘察设计集团有限公司、金阳县自然资源局</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构建</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搬迁区域的</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实景</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三维场景</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，完成多源数据的接入与管理，</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以三维可视化手段展示避险搬迁工作的进度</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，丰富了数据分析手段，提高了数据管理水平和城市治理水平。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10</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基于虚实融合技术的协同建造管理平台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核工业西南勘察设计研究院有限公司</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融合实景三维模型和虚拟BIM模型，围绕工程施工业务全</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过</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程，打造多终端（电脑、手机、智能眼镜</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一体化的管理平台</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，实现了基于三维模型的虚实投影、手势交互浏览、进度填报管理等应用功能，有效提高了管理效率。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11</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自然资源确权登记三维可视化辅助平台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四川省自然资源测绘地理信息有限责任公司</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通过融合多源数据、构建三维场景、辅助内外业调查及可视化确权成果</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，打造自然资源立体可视化与统一确权登记信息有机融合的辅助平台，实现了登记单元精准预划，提高了内业效率，降低了外业核查工作量。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12</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森林草原防灭火应急指挥平台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四川测绘地理信息局测绘技术服务中心</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以实景三维数据为基底，承载多种专题信息，研发实景三维森林草原防灭火全程可视化应急指挥平台和移动端的森林草原防灭火巡护APP，提高了综合防灾减灾能力，为救援工作、应急指挥调度提供了有力支撑。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13</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达州高新区实景三维可视化智慧平台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四川省第十一地质大队、达州市自然资源和规划局</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基于实景</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三维场景</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通过区情概况、总体规划、产业发展、公服配套、分析计算五大模块，直观地展示高新区的优势及规划设计情况，支撑现状查看、拆迁摸底、规划选址等日常工作，提升运营、管理、展示能力，促进高新区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31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14</w:t>
            </w:r>
          </w:p>
        </w:tc>
        <w:tc>
          <w:tcPr>
            <w:tcW w:w="103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default"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桐子林水电站监测可视化平台</w:t>
            </w:r>
          </w:p>
        </w:tc>
        <w:tc>
          <w:tcPr>
            <w:tcW w:w="129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四川中水成勘院测绘工程有限责任公司</w:t>
            </w:r>
          </w:p>
        </w:tc>
        <w:tc>
          <w:tcPr>
            <w:tcW w:w="2348"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利用</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实景三维模型直观反映桐子林水电站及周边情况，构建实景三维平台，</w:t>
            </w:r>
            <w:r>
              <w:rPr>
                <w:rFonts w:hint="eastAsia" w:ascii="Times New Roman" w:hAnsi="Times New Roman" w:cs="Times New Roman"/>
                <w:color w:val="000000" w:themeColor="text1"/>
                <w:spacing w:val="0"/>
                <w:sz w:val="24"/>
                <w:szCs w:val="24"/>
                <w:highlight w:val="none"/>
                <w:lang w:val="en-US" w:eastAsia="zh-CN"/>
                <w14:textFill>
                  <w14:solidFill>
                    <w14:schemeClr w14:val="tx1"/>
                  </w14:solidFill>
                </w14:textFill>
              </w:rPr>
              <w:t>进行</w:t>
            </w:r>
            <w:r>
              <w:rPr>
                <w:rFonts w:hint="eastAsia" w:ascii="Times New Roman" w:hAnsi="Times New Roman" w:eastAsia="仿宋_GB2312" w:cs="Times New Roman"/>
                <w:color w:val="000000" w:themeColor="text1"/>
                <w:spacing w:val="0"/>
                <w:sz w:val="24"/>
                <w:szCs w:val="24"/>
                <w:highlight w:val="none"/>
                <w:lang w:val="en-US" w:eastAsia="zh-CN"/>
                <w14:textFill>
                  <w14:solidFill>
                    <w14:schemeClr w14:val="tx1"/>
                  </w14:solidFill>
                </w14:textFill>
              </w:rPr>
              <w:t>变形监测数据分析，并以可视化的方式展示，辅助运维人员做出更加科学和合理的决策，提高了维护效率和质量。</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JiOTgwOWYxZGQ3MjY0ZmRmMzdjODkzNjBhMWQifQ=="/>
  </w:docVars>
  <w:rsids>
    <w:rsidRoot w:val="00000000"/>
    <w:rsid w:val="40121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cs="Times New Roman"/>
      <w:szCs w:val="24"/>
      <w14:ligatures w14:val="none"/>
    </w:rPr>
  </w:style>
  <w:style w:type="table" w:styleId="4">
    <w:name w:val="Table Grid"/>
    <w:basedOn w:val="3"/>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Table Text"/>
    <w:basedOn w:val="1"/>
    <w:autoRedefine/>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2024-05-30T07:49:14Z</dcterms:created>
  <dc:creator>Administrator</dc:creator>
  <cp:lastModifiedBy>Administrator</cp:lastModifiedBy>
  <dcterms:modified xsi:type="dcterms:W3CDTF">2024-05-30T07:49:24Z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8694C54CC8F74EE69166EA7F3563EF9B_12</vt:lpwstr>
  </property>
</Properties>
</file>