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u w:val="none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四川省第三次全国国土调查主要数据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根据四川省第三次全国国土调查主要数据公报，全省主要地类数据：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现将全省主要地类数据公布如下：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1、耕地：522.72万公顷（7840.75万亩）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2、园地：120.32万公顷（1804.73万亩）。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3、林地：2541.96万公顷（38129.40万亩）。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4、草地：968.78万公顷（14531.76万亩）。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5、湿地：123.08万公顷（1846.14万亩）。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6、城镇村及工矿用地：184.12万公顷（2761.87万亩）。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7、交通运输用地：47.39万公顷（710.79万亩）。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20" w:beforeAutospacing="0" w:after="106" w:afterAutospacing="0" w:line="30" w:lineRule="atLeast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  <w:vertAlign w:val="baseline"/>
        </w:rPr>
        <w:t>8、水域及水利设施用地：105.32万公顷（1579.85万亩）。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7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323</Characters>
  <Lines>0</Lines>
  <Paragraphs>0</Paragraphs>
  <TotalTime>0</TotalTime>
  <ScaleCrop>false</ScaleCrop>
  <LinksUpToDate>false</LinksUpToDate>
  <CharactersWithSpaces>328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2022-04-21T09:25:00Z</dcterms:created>
  <dc:creator>Administrator</dc:creator>
  <cp:lastModifiedBy>Administrator</cp:lastModifiedBy>
  <dcterms:modified xsi:type="dcterms:W3CDTF">2022-04-21T09:25:15Z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96DEB881BF7C4BA491BDA59F48942268</vt:lpwstr>
  </property>
</Properties>
</file>