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四川省</w:t>
      </w:r>
      <w:r>
        <w:rPr>
          <w:rFonts w:hint="eastAsia" w:ascii="方正小标宋简体" w:hAnsi="方正小标宋简体" w:eastAsia="方正小标宋简体" w:cs="方正小标宋简体"/>
          <w:kern w:val="0"/>
          <w:sz w:val="44"/>
          <w:szCs w:val="44"/>
          <w:lang w:eastAsia="zh-CN"/>
        </w:rPr>
        <w:t>自然</w:t>
      </w:r>
      <w:r>
        <w:rPr>
          <w:rFonts w:hint="eastAsia" w:ascii="方正小标宋简体" w:hAnsi="方正小标宋简体" w:eastAsia="方正小标宋简体" w:cs="方正小标宋简体"/>
          <w:color w:val="auto"/>
          <w:kern w:val="0"/>
          <w:sz w:val="44"/>
          <w:szCs w:val="44"/>
        </w:rPr>
        <w:t>资源厅</w:t>
      </w:r>
    </w:p>
    <w:p>
      <w:pPr>
        <w:widowControl/>
        <w:snapToGrid w:val="0"/>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乡（镇）村企业使用集体建设用地审批</w:t>
      </w:r>
    </w:p>
    <w:p>
      <w:pPr>
        <w:widowControl/>
        <w:snapToGrid w:val="0"/>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办事指南</w:t>
      </w:r>
    </w:p>
    <w:p>
      <w:pPr>
        <w:spacing w:line="580" w:lineRule="exact"/>
        <w:rPr>
          <w:rFonts w:hint="eastAsia"/>
          <w:color w:val="auto"/>
          <w:sz w:val="30"/>
          <w:szCs w:val="30"/>
        </w:rPr>
      </w:pPr>
    </w:p>
    <w:p>
      <w:pPr>
        <w:widowControl/>
        <w:adjustRightIn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一、适用范围</w:t>
      </w:r>
    </w:p>
    <w:p>
      <w:pPr>
        <w:widowControl/>
        <w:adjustRightInd w:val="0"/>
        <w:spacing w:line="500" w:lineRule="exact"/>
        <w:ind w:firstLine="56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本行政区域内的农村集体经济组织使用乡（镇）土地利用总体规划确定的建设用地兴办企业，或者以土地使用权入股、联营等形式与其他单位、个人共同举办企业，或者乡（镇）、村公共设施、公益事业建设需要使用成都市和民族自治州4公顷以上，其他地区2公顷以上的土地。</w:t>
      </w:r>
    </w:p>
    <w:p>
      <w:pPr>
        <w:widowControl/>
        <w:adjustRightIn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二、设定依据</w:t>
      </w:r>
    </w:p>
    <w:p>
      <w:pPr>
        <w:widowControl/>
        <w:adjustRightInd w:val="0"/>
        <w:spacing w:line="5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（一）《中华人民共和国土地管理法》</w:t>
      </w:r>
      <w:r>
        <w:rPr>
          <w:rFonts w:ascii="仿宋_GB2312" w:hAnsi="宋体" w:eastAsia="仿宋_GB2312" w:cs="宋体"/>
          <w:color w:val="auto"/>
          <w:kern w:val="0"/>
          <w:sz w:val="28"/>
          <w:szCs w:val="28"/>
        </w:rPr>
        <w:t>（第六届全国人民代表大会常务委员会第十六次会议通过）</w:t>
      </w:r>
      <w:r>
        <w:rPr>
          <w:rFonts w:hint="eastAsia" w:ascii="仿宋_GB2312" w:hAnsi="宋体" w:eastAsia="仿宋_GB2312" w:cs="宋体"/>
          <w:color w:val="auto"/>
          <w:kern w:val="0"/>
          <w:sz w:val="28"/>
          <w:szCs w:val="28"/>
        </w:rPr>
        <w:t>第60条第1款：“农村集体经济组织使用乡（镇）土地利用总体规划确定的建设用地举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w:t>
      </w:r>
    </w:p>
    <w:p>
      <w:pPr>
        <w:widowControl/>
        <w:adjustRightInd w:val="0"/>
        <w:spacing w:line="500" w:lineRule="exact"/>
        <w:ind w:firstLine="560" w:firstLineChars="200"/>
        <w:jc w:val="left"/>
        <w:rPr>
          <w:rFonts w:hint="eastAsia" w:ascii="仿宋_GB2312" w:eastAsia="仿宋_GB2312"/>
          <w:color w:val="auto"/>
          <w:sz w:val="28"/>
          <w:szCs w:val="28"/>
        </w:rPr>
      </w:pPr>
      <w:r>
        <w:rPr>
          <w:rFonts w:hint="eastAsia" w:ascii="仿宋_GB2312" w:hAnsi="宋体" w:eastAsia="仿宋_GB2312" w:cs="宋体"/>
          <w:color w:val="auto"/>
          <w:kern w:val="0"/>
          <w:sz w:val="28"/>
          <w:szCs w:val="28"/>
        </w:rPr>
        <w:t>（二）《四川省&lt;中华人民共和国土地管理法&gt;实施办法》</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四川省第六届人民代表大会常务委员会第二十六次会议通过</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第51条第1、2款：“农村集体经济组织使用乡（镇）土地利用总体规划确定的建设用地兴办企业，或者以土地使用权入股、联营等形式与其他单位、个人共同举办企业，或者乡（镇）、村公共设施、公益事业建设需要使用土地的，按下列规定办理占用审批手续：（一）项目占用土地1公顷（含1公顷）以下的，由县级人民政府批准；其中，使用设区的市城市规划区内土地的，由市人民政府批准；（二）项目占用土地1公顷以上2公顷（含2公顷）以下的，由市人民政府批准；其中成都市和民族自治州人民政府可以批准1公顷以上4公顷（含4公顷）以下；（三）超过本款第（二）项审批权限以及其他需要由省人民政府批准的，由省人民政府批准。涉及占用农用地的，应当依照本实施办法第三十五条的规定先行办理农用地转用审批手续。”</w:t>
      </w:r>
    </w:p>
    <w:p>
      <w:pPr>
        <w:widowControl/>
        <w:adjustRightInd w:val="0"/>
        <w:spacing w:line="500" w:lineRule="exact"/>
        <w:rPr>
          <w:rFonts w:hint="eastAsia" w:ascii="仿宋_GB2312" w:hAnsi="宋体" w:eastAsia="仿宋_GB2312" w:cs="宋体"/>
          <w:color w:val="auto"/>
          <w:sz w:val="28"/>
          <w:szCs w:val="28"/>
        </w:rPr>
      </w:pPr>
      <w:r>
        <w:rPr>
          <w:rFonts w:hint="eastAsia" w:ascii="黑体" w:hAnsi="黑体" w:eastAsia="黑体" w:cs="黑体"/>
          <w:color w:val="auto"/>
          <w:kern w:val="0"/>
          <w:sz w:val="28"/>
          <w:szCs w:val="28"/>
        </w:rPr>
        <w:t>三、申请条件</w:t>
      </w:r>
    </w:p>
    <w:p>
      <w:pPr>
        <w:widowControl/>
        <w:adjustRightInd w:val="0"/>
        <w:spacing w:line="500" w:lineRule="exact"/>
        <w:rPr>
          <w:rFonts w:hint="eastAsia" w:ascii="仿宋_GB2312" w:hAnsi="宋体" w:eastAsia="仿宋_GB2312" w:cs="宋体"/>
          <w:color w:val="auto"/>
          <w:sz w:val="28"/>
          <w:szCs w:val="28"/>
        </w:rPr>
      </w:pPr>
      <w:r>
        <w:rPr>
          <w:rFonts w:hint="eastAsia" w:ascii="仿宋_GB2312" w:hAnsi="宋体" w:eastAsia="仿宋_GB2312" w:cs="宋体"/>
          <w:color w:val="auto"/>
          <w:kern w:val="0"/>
          <w:sz w:val="28"/>
          <w:szCs w:val="28"/>
        </w:rPr>
        <w:t xml:space="preserve">  （一）符合土地利用总体规划；</w:t>
      </w:r>
    </w:p>
    <w:p>
      <w:pPr>
        <w:widowControl/>
        <w:adjustRightInd w:val="0"/>
        <w:spacing w:line="5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（二）符合土地利用年度计划；</w:t>
      </w:r>
    </w:p>
    <w:p>
      <w:pPr>
        <w:widowControl/>
        <w:adjustRightInd w:val="0"/>
        <w:spacing w:line="5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（三）符合国家产业政策，符合建设用地标准；</w:t>
      </w:r>
    </w:p>
    <w:p>
      <w:pPr>
        <w:widowControl/>
        <w:adjustRightInd w:val="0"/>
        <w:spacing w:line="5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（四）发改和经信委，以及规划部门批准文件。</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四、申请材料</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205"/>
        <w:gridCol w:w="2601"/>
        <w:gridCol w:w="148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2205"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材料名称</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详细要求</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w:t>
            </w:r>
            <w:r>
              <w:rPr>
                <w:rFonts w:hint="eastAsia" w:ascii="仿宋_GB2312" w:hAnsi="仿宋_GB2312" w:eastAsia="仿宋_GB2312" w:cs="仿宋_GB2312"/>
                <w:color w:val="auto"/>
                <w:kern w:val="0"/>
                <w:sz w:val="24"/>
                <w:lang w:eastAsia="zh-CN"/>
              </w:rPr>
              <w:t>来源</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（一）</w:t>
            </w:r>
          </w:p>
        </w:tc>
        <w:tc>
          <w:tcPr>
            <w:tcW w:w="2205"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r>
              <w:rPr>
                <w:rFonts w:hint="eastAsia" w:ascii="仿宋_GB2312" w:hAnsi="宋体" w:eastAsia="仿宋_GB2312" w:cs="宋体"/>
                <w:color w:val="auto"/>
                <w:kern w:val="0"/>
                <w:sz w:val="24"/>
              </w:rPr>
              <w:t>占用集体土地申请表</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A4纸打印，原件1份，附PDF格式电子文档1份（内容清晰可辨）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申请人提交</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（二）</w:t>
            </w:r>
          </w:p>
        </w:tc>
        <w:tc>
          <w:tcPr>
            <w:tcW w:w="2205"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建设项目批准文件</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纸质件要求原件及复印件各1份。附PDF格式电子文档1份（内容清晰可辨）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项目立项部门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（三）</w:t>
            </w:r>
          </w:p>
        </w:tc>
        <w:tc>
          <w:tcPr>
            <w:tcW w:w="2205"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集体土地权属证书或权属证明材料或农用地转用批准文件</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原件及复印件各1份。附PDF格式电子文档1份（内容清晰可辨）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申请人</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（四）</w:t>
            </w:r>
          </w:p>
        </w:tc>
        <w:tc>
          <w:tcPr>
            <w:tcW w:w="2205" w:type="dxa"/>
            <w:vAlign w:val="center"/>
          </w:tcPr>
          <w:p>
            <w:pPr>
              <w:widowControl/>
              <w:adjustRightInd w:val="0"/>
              <w:snapToGrid w:val="0"/>
              <w:spacing w:line="300" w:lineRule="exact"/>
              <w:ind w:firstLine="480" w:firstLineChars="200"/>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农业部门、规划部门、税务部门等部门的批准文件或证明材料</w:t>
            </w:r>
            <w:r>
              <w:rPr>
                <w:rFonts w:hint="eastAsia" w:ascii="Times New Roman" w:hAnsi="Times New Roman" w:eastAsia="仿宋_GB2312"/>
                <w:color w:val="auto"/>
                <w:sz w:val="32"/>
                <w:szCs w:val="32"/>
              </w:rPr>
              <w:t>。</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lang w:eastAsia="zh-CN"/>
              </w:rPr>
              <w:t>林业、规划等相关部门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若涉及缴纳新增建设用地土地有偿使用费，需提供缴费凭证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（五）</w:t>
            </w:r>
          </w:p>
        </w:tc>
        <w:tc>
          <w:tcPr>
            <w:tcW w:w="2205"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宋体" w:eastAsia="仿宋_GB2312" w:cs="宋体"/>
                <w:color w:val="auto"/>
                <w:kern w:val="0"/>
                <w:sz w:val="24"/>
              </w:rPr>
              <w:t>土地利用规划审查图</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国土部门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（六）</w:t>
            </w:r>
          </w:p>
        </w:tc>
        <w:tc>
          <w:tcPr>
            <w:tcW w:w="2205"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r>
              <w:rPr>
                <w:rFonts w:hint="eastAsia" w:ascii="仿宋_GB2312" w:hAnsi="宋体" w:eastAsia="仿宋_GB2312" w:cs="宋体"/>
                <w:color w:val="auto"/>
                <w:kern w:val="0"/>
                <w:sz w:val="24"/>
              </w:rPr>
              <w:t>勘测定界技术报告书和勘测定界图</w:t>
            </w:r>
          </w:p>
        </w:tc>
        <w:tc>
          <w:tcPr>
            <w:tcW w:w="2601"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原件1份，附PDF格式电子文档1份（内容清晰可辨）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申请人</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（七）</w:t>
            </w:r>
          </w:p>
        </w:tc>
        <w:tc>
          <w:tcPr>
            <w:tcW w:w="2205"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土地补偿协议</w:t>
            </w:r>
          </w:p>
        </w:tc>
        <w:tc>
          <w:tcPr>
            <w:tcW w:w="2601"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复印件1份，加盖鲜章，复印件注明与原件一致，核验原件。附PDF格式电子文档1份（内容清晰可辨）</w:t>
            </w:r>
          </w:p>
        </w:tc>
        <w:tc>
          <w:tcPr>
            <w:tcW w:w="1488"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仿宋_GB2312" w:eastAsia="仿宋_GB2312" w:cs="仿宋_GB2312"/>
                <w:color w:val="auto"/>
                <w:sz w:val="24"/>
                <w:lang w:eastAsia="zh-CN"/>
              </w:rPr>
              <w:t>申请人</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（八）</w:t>
            </w:r>
          </w:p>
        </w:tc>
        <w:tc>
          <w:tcPr>
            <w:tcW w:w="2205"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地质灾害危险性评估报告</w:t>
            </w:r>
          </w:p>
        </w:tc>
        <w:tc>
          <w:tcPr>
            <w:tcW w:w="2601"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原件及复印件各1份。附PDF格式电子文档1份（内容清晰可辨）</w:t>
            </w:r>
          </w:p>
        </w:tc>
        <w:tc>
          <w:tcPr>
            <w:tcW w:w="1488" w:type="dxa"/>
            <w:vAlign w:val="center"/>
          </w:tcPr>
          <w:p>
            <w:pPr>
              <w:widowControl/>
              <w:adjustRightInd w:val="0"/>
              <w:snapToGrid w:val="0"/>
              <w:spacing w:line="300" w:lineRule="exact"/>
              <w:jc w:val="center"/>
              <w:rPr>
                <w:rFonts w:hint="eastAsia" w:ascii="仿宋_GB2312" w:hAnsi="宋体" w:eastAsia="仿宋_GB2312" w:cs="宋体"/>
                <w:color w:val="auto"/>
                <w:kern w:val="0"/>
                <w:sz w:val="24"/>
              </w:rPr>
            </w:pPr>
            <w:r>
              <w:rPr>
                <w:rFonts w:hint="eastAsia" w:ascii="仿宋_GB2312" w:hAnsi="仿宋_GB2312" w:eastAsia="仿宋_GB2312" w:cs="仿宋_GB2312"/>
                <w:color w:val="auto"/>
                <w:sz w:val="24"/>
                <w:lang w:eastAsia="zh-CN"/>
              </w:rPr>
              <w:t>申请人</w:t>
            </w:r>
          </w:p>
        </w:tc>
        <w:tc>
          <w:tcPr>
            <w:tcW w:w="1488" w:type="dxa"/>
            <w:vAlign w:val="center"/>
          </w:tcPr>
          <w:p>
            <w:pPr>
              <w:widowControl/>
              <w:adjustRightInd w:val="0"/>
              <w:snapToGrid w:val="0"/>
              <w:spacing w:line="300" w:lineRule="exact"/>
              <w:jc w:val="center"/>
              <w:rPr>
                <w:rFonts w:hint="eastAsia" w:ascii="仿宋_GB2312" w:hAnsi="仿宋_GB2312" w:eastAsia="仿宋_GB2312" w:cs="仿宋_GB2312"/>
                <w:color w:val="auto"/>
                <w:sz w:val="24"/>
              </w:rPr>
            </w:pPr>
          </w:p>
        </w:tc>
      </w:tr>
    </w:tbl>
    <w:p>
      <w:pPr>
        <w:widowControl/>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五、办理流程</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    （一）申请人持上述申报材料向省政务服务和资源交易服务中心自然资源厅窗口提交申请。</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    （二）省政务服务和资源交易服务中心自然资源窗口进行形式审查。对属于受理范围，申请材料齐全、符合法定形式的，当场受理并出具受理通知书；对申请材料不齐全或者不符合法定形式的，在收到申请材料后当场或5个工作日内一次性书面告知申请人需要补正的全部内容，对不属于受理范围的，不予受理并出具不予受理通知书，并告知向有受理权限的机关申请。</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    （三）省自然资源厅在收到申请后，对报件进行初步审查。</w:t>
      </w:r>
    </w:p>
    <w:p>
      <w:pPr>
        <w:widowControl/>
        <w:snapToGrid w:val="0"/>
        <w:spacing w:line="500" w:lineRule="exact"/>
        <w:ind w:firstLine="560"/>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（四）对经审核且符合要求的报件拟文上报省人民政府。</w:t>
      </w:r>
    </w:p>
    <w:p>
      <w:pPr>
        <w:widowControl/>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lang w:bidi="ar"/>
        </w:rPr>
        <w:t>六、</w:t>
      </w:r>
      <w:r>
        <w:rPr>
          <w:rFonts w:hint="eastAsia" w:ascii="黑体" w:hAnsi="黑体" w:eastAsia="黑体" w:cs="黑体"/>
          <w:color w:val="auto"/>
          <w:kern w:val="0"/>
          <w:sz w:val="28"/>
          <w:szCs w:val="28"/>
        </w:rPr>
        <w:t>办理</w:t>
      </w:r>
      <w:r>
        <w:rPr>
          <w:rFonts w:hint="eastAsia" w:ascii="黑体" w:hAnsi="黑体" w:eastAsia="黑体" w:cs="黑体"/>
          <w:color w:val="auto"/>
          <w:kern w:val="0"/>
          <w:sz w:val="28"/>
          <w:szCs w:val="28"/>
          <w:lang w:eastAsia="zh-CN"/>
        </w:rPr>
        <w:t>类型及</w:t>
      </w:r>
      <w:r>
        <w:rPr>
          <w:rFonts w:hint="eastAsia" w:ascii="黑体" w:hAnsi="黑体" w:eastAsia="黑体" w:cs="黑体"/>
          <w:color w:val="auto"/>
          <w:kern w:val="0"/>
          <w:sz w:val="28"/>
          <w:szCs w:val="28"/>
        </w:rPr>
        <w:t>时限</w:t>
      </w:r>
    </w:p>
    <w:p>
      <w:pPr>
        <w:widowControl/>
        <w:snapToGrid w:val="0"/>
        <w:spacing w:line="500" w:lineRule="exact"/>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eastAsia="zh-CN" w:bidi="ar"/>
        </w:rPr>
        <w:t>承诺件。</w:t>
      </w:r>
      <w:r>
        <w:rPr>
          <w:rFonts w:hint="eastAsia" w:ascii="仿宋_GB2312" w:hAnsi="仿宋_GB2312" w:eastAsia="仿宋_GB2312" w:cs="仿宋_GB2312"/>
          <w:color w:val="auto"/>
          <w:kern w:val="0"/>
          <w:sz w:val="28"/>
          <w:szCs w:val="28"/>
          <w:lang w:bidi="ar"/>
        </w:rPr>
        <w:t>法定时限：30个工作日</w:t>
      </w:r>
      <w:r>
        <w:rPr>
          <w:rFonts w:hint="eastAsia" w:ascii="仿宋_GB2312" w:hAnsi="仿宋_GB2312" w:eastAsia="仿宋_GB2312" w:cs="仿宋_GB2312"/>
          <w:color w:val="auto"/>
          <w:kern w:val="0"/>
          <w:sz w:val="28"/>
          <w:szCs w:val="28"/>
          <w:lang w:eastAsia="zh-CN" w:bidi="ar"/>
        </w:rPr>
        <w:t>。</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七、收费依据、收费标准</w:t>
      </w:r>
    </w:p>
    <w:p>
      <w:pP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不收费</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八、办理结果名称</w:t>
      </w:r>
    </w:p>
    <w:p>
      <w:pPr>
        <w:widowControl/>
        <w:adjustRightInd w:val="0"/>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关于xx乡（镇）村公共设施、公益事业使用集体建设用地审核的意见</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九、数量限制</w:t>
      </w:r>
    </w:p>
    <w:p>
      <w:pPr>
        <w:widowControl/>
        <w:adjustRightInd w:val="0"/>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无。</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十、办理方式</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现场办理；到现场次数1次。</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十一、办理时间、地点及联系方式</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（一）办理时间</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工作日：上午9:00—12:00；下午：13:00—17:00:（一）联系电话</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（二）现场办理地点</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四川省政府政务服务和公共资源交易服务中心（成都市青羊区草市街2号）</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（三）网上办事大厅</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四川政务服务网：www.sczwfw.gov.cn</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四川省自然资源厅：</w:t>
      </w:r>
      <w:r>
        <w:rPr>
          <w:rFonts w:hint="eastAsia" w:ascii="仿宋_GB2312" w:hAnsi="宋体" w:eastAsia="仿宋_GB2312"/>
          <w:color w:val="auto"/>
          <w:sz w:val="32"/>
          <w:szCs w:val="32"/>
        </w:rPr>
        <w:t>dnr.sc.gov.cn</w:t>
      </w:r>
      <w:bookmarkStart w:id="0" w:name="_GoBack"/>
      <w:bookmarkEnd w:id="0"/>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（四）联系方式</w:t>
      </w:r>
    </w:p>
    <w:p>
      <w:pPr>
        <w:widowControl/>
        <w:snapToGrid w:val="0"/>
        <w:spacing w:line="50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业务咨询电话：（028）87036</w:t>
      </w:r>
      <w:r>
        <w:rPr>
          <w:rFonts w:hint="eastAsia" w:ascii="仿宋_GB2312" w:hAnsi="仿宋_GB2312" w:eastAsia="仿宋_GB2312" w:cs="仿宋_GB2312"/>
          <w:color w:val="auto"/>
          <w:kern w:val="0"/>
          <w:sz w:val="28"/>
          <w:szCs w:val="28"/>
          <w:lang w:val="en-US" w:eastAsia="zh-CN"/>
        </w:rPr>
        <w:t>179</w:t>
      </w:r>
    </w:p>
    <w:p>
      <w:pPr>
        <w:widowControl/>
        <w:adjustRightInd w:val="0"/>
        <w:snapToGrid w:val="0"/>
        <w:spacing w:line="50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政府服务热线（监督电话）：12345</w:t>
      </w:r>
    </w:p>
    <w:p>
      <w:pPr>
        <w:widowControl/>
        <w:adjustRightInd w:val="0"/>
        <w:snapToGrid w:val="0"/>
        <w:spacing w:line="500" w:lineRule="exact"/>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十二、注意事项</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无。</w:t>
      </w:r>
    </w:p>
    <w:p>
      <w:pPr>
        <w:widowControl/>
        <w:snapToGrid w:val="0"/>
        <w:spacing w:line="5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br w:type="page"/>
      </w:r>
    </w:p>
    <w:p>
      <w:pPr>
        <w:widowControl/>
        <w:snapToGrid w:val="0"/>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四川省</w:t>
      </w:r>
      <w:r>
        <w:rPr>
          <w:rFonts w:hint="eastAsia" w:ascii="方正小标宋简体" w:hAnsi="方正小标宋简体" w:eastAsia="方正小标宋简体" w:cs="方正小标宋简体"/>
          <w:color w:val="auto"/>
          <w:kern w:val="0"/>
          <w:sz w:val="44"/>
          <w:szCs w:val="44"/>
          <w:lang w:eastAsia="zh-CN"/>
        </w:rPr>
        <w:t>自然</w:t>
      </w:r>
      <w:r>
        <w:rPr>
          <w:rFonts w:hint="eastAsia" w:ascii="方正小标宋简体" w:hAnsi="方正小标宋简体" w:eastAsia="方正小标宋简体" w:cs="方正小标宋简体"/>
          <w:color w:val="auto"/>
          <w:kern w:val="0"/>
          <w:sz w:val="44"/>
          <w:szCs w:val="44"/>
        </w:rPr>
        <w:t>资源厅</w:t>
      </w:r>
    </w:p>
    <w:p>
      <w:pPr>
        <w:widowControl/>
        <w:snapToGrid w:val="0"/>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乡（镇）村企业使用集体建设用地审批</w:t>
      </w:r>
    </w:p>
    <w:p>
      <w:pPr>
        <w:widowControl/>
        <w:snapToGrid w:val="0"/>
        <w:spacing w:line="500" w:lineRule="exact"/>
        <w:jc w:val="center"/>
        <w:rPr>
          <w:rFonts w:hint="eastAsia" w:ascii="黑体" w:hAnsi="黑体" w:eastAsia="黑体" w:cs="黑体"/>
          <w:color w:val="auto"/>
          <w:kern w:val="0"/>
          <w:sz w:val="42"/>
          <w:szCs w:val="44"/>
        </w:rPr>
      </w:pPr>
      <w:r>
        <w:rPr>
          <w:rFonts w:hint="eastAsia" w:ascii="方正小标宋简体" w:hAnsi="方正小标宋简体" w:eastAsia="方正小标宋简体" w:cs="方正小标宋简体"/>
          <w:color w:val="auto"/>
          <w:kern w:val="0"/>
          <w:sz w:val="44"/>
          <w:szCs w:val="44"/>
        </w:rPr>
        <w:t>审查工作细则</w:t>
      </w:r>
    </w:p>
    <w:p>
      <w:pPr>
        <w:adjustRightInd w:val="0"/>
        <w:snapToGrid w:val="0"/>
        <w:spacing w:line="600" w:lineRule="exact"/>
        <w:jc w:val="center"/>
        <w:rPr>
          <w:rFonts w:ascii="方正小标宋简体" w:hAnsi="方正小标宋简体" w:eastAsia="方正小标宋简体" w:cs="方正小标宋简体"/>
          <w:color w:val="auto"/>
          <w:sz w:val="44"/>
          <w:szCs w:val="44"/>
        </w:rPr>
      </w:pPr>
    </w:p>
    <w:tbl>
      <w:tblPr>
        <w:tblStyle w:val="3"/>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355"/>
        <w:gridCol w:w="3616"/>
        <w:gridCol w:w="8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23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审查内容</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审查标准</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依据</w:t>
            </w: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35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占用集体土地申请表</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严格按要求完整填写申请表。</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35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建设项目批准文件</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1.土地使用权是否属于本行政区域；</w:t>
            </w:r>
          </w:p>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2.是否具备申请主体资格；</w:t>
            </w:r>
          </w:p>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3.与申请表中内容一致，印章齐全。</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35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集体土地权属证书或权属证明材料</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1申请人必须真实、一致，内容与申请表中内容一致，印章齐全；</w:t>
            </w:r>
          </w:p>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2.申请材料完整。</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2355" w:type="dxa"/>
            <w:vAlign w:val="top"/>
          </w:tcPr>
          <w:p>
            <w:pPr>
              <w:widowControl/>
              <w:adjustRightInd w:val="0"/>
              <w:snapToGrid w:val="0"/>
              <w:spacing w:line="300" w:lineRule="exact"/>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农业部门、规划部门、税务部门等部门的批准文件或证明材料</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1.相关材料的原件与复印件是否真实、一致；</w:t>
            </w:r>
          </w:p>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2.申请材料完整；</w:t>
            </w:r>
          </w:p>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3.与申请表内容一致，印章齐全。</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235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土地利用规划审查图</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符合乡（镇）土地利用总体规划。</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2355" w:type="dxa"/>
            <w:vAlign w:val="top"/>
          </w:tcPr>
          <w:p>
            <w:pPr>
              <w:widowControl/>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rPr>
              <w:t>勘测定界技术报告书和勘测定界图</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内容一致，印章齐全。</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2355" w:type="dxa"/>
            <w:vAlign w:val="top"/>
          </w:tcPr>
          <w:p>
            <w:pPr>
              <w:widowControl/>
              <w:adjustRightInd w:val="0"/>
              <w:snapToGrid w:val="0"/>
              <w:spacing w:line="30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土地补偿协议</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内容一致，印章齐全。</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355" w:type="dxa"/>
            <w:vAlign w:val="center"/>
          </w:tcPr>
          <w:p>
            <w:pPr>
              <w:widowControl/>
              <w:adjustRightInd w:val="0"/>
              <w:snapToGrid w:val="0"/>
              <w:spacing w:line="30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地质灾害危险性评估报告</w:t>
            </w:r>
          </w:p>
        </w:tc>
        <w:tc>
          <w:tcPr>
            <w:tcW w:w="3616"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内容一致，印章齐全。</w:t>
            </w:r>
          </w:p>
        </w:tc>
        <w:tc>
          <w:tcPr>
            <w:tcW w:w="85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c>
          <w:tcPr>
            <w:tcW w:w="1365" w:type="dxa"/>
            <w:vAlign w:val="top"/>
          </w:tcPr>
          <w:p>
            <w:pPr>
              <w:tabs>
                <w:tab w:val="left" w:pos="5918"/>
              </w:tabs>
              <w:adjustRightInd w:val="0"/>
              <w:snapToGrid w:val="0"/>
              <w:spacing w:line="300" w:lineRule="exact"/>
              <w:rPr>
                <w:rFonts w:hint="eastAsia" w:ascii="仿宋_GB2312" w:hAnsi="仿宋_GB2312" w:eastAsia="仿宋_GB2312" w:cs="仿宋_GB2312"/>
                <w:color w:val="auto"/>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sto MT">
    <w:altName w:val="Palatino Linotype"/>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微软雅黑">
    <w:altName w:val="黑体"/>
    <w:panose1 w:val="020B0503020204020204"/>
    <w:charset w:val="86"/>
    <w:family w:val="auto"/>
    <w:pitch w:val="default"/>
    <w:sig w:usb0="00000000" w:usb1="00000000" w:usb2="00000016" w:usb3="00000000" w:csb0="0004001F" w:csb1="00000000"/>
  </w:font>
  <w:font w:name="Courier New">
    <w:panose1 w:val="02070309020205020404"/>
    <w:charset w:val="00"/>
    <w:family w:val="auto"/>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宋体-方正超大字符集">
    <w:altName w:val="宋体"/>
    <w:panose1 w:val="03000509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华文仿宋">
    <w:altName w:val="仿宋_GB2312"/>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_GBK">
    <w:altName w:val="宋体"/>
    <w:panose1 w:val="00000000000000000000"/>
    <w:charset w:val="86"/>
    <w:family w:val="script"/>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_4eff_5b8b_GB2312">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DFKai-SB">
    <w:altName w:val="MingLiU"/>
    <w:panose1 w:val="03000509000000000000"/>
    <w:charset w:val="88"/>
    <w:family w:val="auto"/>
    <w:pitch w:val="default"/>
    <w:sig w:usb0="00000000" w:usb1="00000000" w:usb2="00000016" w:usb3="00000000" w:csb0="00100001" w:csb1="00000000"/>
  </w:font>
  <w:font w:name="BatangChe">
    <w:altName w:val="GulimChe"/>
    <w:panose1 w:val="02030609000101010101"/>
    <w:charset w:val="81"/>
    <w:family w:val="auto"/>
    <w:pitch w:val="default"/>
    <w:sig w:usb0="00000000" w:usb1="00000000" w:usb2="00000030" w:usb3="00000000" w:csb0="4008009F" w:csb1="DFD70000"/>
  </w:font>
  <w:font w:name="Batang">
    <w:altName w:val="GulimChe"/>
    <w:panose1 w:val="0203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隶书">
    <w:altName w:val="宋体"/>
    <w:panose1 w:val="0201050906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Bradley Hand ITC">
    <w:altName w:val="Comic Sans MS"/>
    <w:panose1 w:val="03070402050302030203"/>
    <w:charset w:val="00"/>
    <w:family w:val="auto"/>
    <w:pitch w:val="default"/>
    <w:sig w:usb0="00000000" w:usb1="00000000" w:usb2="00000000" w:usb3="00000000" w:csb0="20000001" w:csb1="00000000"/>
  </w:font>
  <w:font w:name="Broadway">
    <w:altName w:val="Courier New"/>
    <w:panose1 w:val="04040905080B02020502"/>
    <w:charset w:val="00"/>
    <w:family w:val="auto"/>
    <w:pitch w:val="default"/>
    <w:sig w:usb0="00000000"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BrowalliaUPC">
    <w:altName w:val="Microsoft Sans Serif"/>
    <w:panose1 w:val="020B0604020202020204"/>
    <w:charset w:val="00"/>
    <w:family w:val="auto"/>
    <w:pitch w:val="default"/>
    <w:sig w:usb0="00000000" w:usb1="00000000" w:usb2="00000000" w:usb3="00000000" w:csb0="0001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altName w:val="Palatino Linotype"/>
    <w:panose1 w:val="02040503050406030204"/>
    <w:charset w:val="00"/>
    <w:family w:val="auto"/>
    <w:pitch w:val="default"/>
    <w:sig w:usb0="00000000" w:usb1="00000000" w:usb2="00000000" w:usb3="00000000" w:csb0="2000019F" w:csb1="00000000"/>
  </w:font>
  <w:font w:name="Castellar">
    <w:altName w:val="PMingLiU"/>
    <w:panose1 w:val="020A0402060406010301"/>
    <w:charset w:val="00"/>
    <w:family w:val="auto"/>
    <w:pitch w:val="default"/>
    <w:sig w:usb0="00000000" w:usb1="00000000" w:usb2="00000000" w:usb3="00000000" w:csb0="20000001" w:csb1="00000000"/>
  </w:font>
  <w:font w:name="Centaur">
    <w:altName w:val="PMingLiU"/>
    <w:panose1 w:val="02030504050205020304"/>
    <w:charset w:val="00"/>
    <w:family w:val="auto"/>
    <w:pitch w:val="default"/>
    <w:sig w:usb0="00000000" w:usb1="00000000" w:usb2="00000000" w:usb3="00000000" w:csb0="20000001" w:csb1="00000000"/>
  </w:font>
  <w:font w:name="Century Schoolbook">
    <w:altName w:val="Georgia"/>
    <w:panose1 w:val="02040604050505020304"/>
    <w:charset w:val="00"/>
    <w:family w:val="auto"/>
    <w:pitch w:val="default"/>
    <w:sig w:usb0="00000000" w:usb1="00000000" w:usb2="00000000" w:usb3="00000000" w:csb0="2000009F" w:csb1="DFD70000"/>
  </w:font>
  <w:font w:name="Chiller">
    <w:altName w:val="Courier New"/>
    <w:panose1 w:val="04020404031007020602"/>
    <w:charset w:val="00"/>
    <w:family w:val="auto"/>
    <w:pitch w:val="default"/>
    <w:sig w:usb0="00000000" w:usb1="00000000" w:usb2="00000000" w:usb3="00000000" w:csb0="20000001" w:csb1="00000000"/>
  </w:font>
  <w:font w:name="Consolas">
    <w:altName w:val="Lucida Console"/>
    <w:panose1 w:val="020B0609020204030204"/>
    <w:charset w:val="00"/>
    <w:family w:val="auto"/>
    <w:pitch w:val="default"/>
    <w:sig w:usb0="00000000" w:usb1="00000000" w:usb2="00000009" w:usb3="00000000" w:csb0="6000019F" w:csb1="DFD70000"/>
  </w:font>
  <w:font w:name="Constantia">
    <w:altName w:val="PMingLiU"/>
    <w:panose1 w:val="02030602050306030303"/>
    <w:charset w:val="00"/>
    <w:family w:val="auto"/>
    <w:pitch w:val="default"/>
    <w:sig w:usb0="00000000" w:usb1="00000000" w:usb2="00000000" w:usb3="00000000" w:csb0="2000019F" w:csb1="00000000"/>
  </w:font>
  <w:font w:name="Corbel">
    <w:altName w:val="Trebuchet MS"/>
    <w:panose1 w:val="020B0503020204020204"/>
    <w:charset w:val="00"/>
    <w:family w:val="auto"/>
    <w:pitch w:val="default"/>
    <w:sig w:usb0="00000000" w:usb1="00000000" w:usb2="00000000" w:usb3="00000000" w:csb0="2000019F" w:csb1="00000000"/>
  </w:font>
  <w:font w:name="Copperplate Gothic Light">
    <w:altName w:val="MV Boli"/>
    <w:panose1 w:val="020E0507020206020404"/>
    <w:charset w:val="00"/>
    <w:family w:val="auto"/>
    <w:pitch w:val="default"/>
    <w:sig w:usb0="00000000" w:usb1="00000000" w:usb2="00000000" w:usb3="00000000" w:csb0="20000001" w:csb1="00000000"/>
  </w:font>
  <w:font w:name="Copperplate Gothic Bold">
    <w:altName w:val="MV Boli"/>
    <w:panose1 w:val="020E0705020206020404"/>
    <w:charset w:val="00"/>
    <w:family w:val="auto"/>
    <w:pitch w:val="default"/>
    <w:sig w:usb0="00000000" w:usb1="00000000" w:usb2="00000000" w:usb3="00000000" w:csb0="20000001" w:csb1="00000000"/>
  </w:font>
  <w:font w:name="Cooper Black">
    <w:altName w:val="MV Boli"/>
    <w:panose1 w:val="0208090404030B020404"/>
    <w:charset w:val="00"/>
    <w:family w:val="auto"/>
    <w:pitch w:val="default"/>
    <w:sig w:usb0="00000000" w:usb1="00000000" w:usb2="00000000" w:usb3="00000000" w:csb0="20000001" w:csb1="00000000"/>
  </w:font>
  <w:font w:name="华文行楷">
    <w:altName w:val="宋体"/>
    <w:panose1 w:val="02010800040101010101"/>
    <w:charset w:val="86"/>
    <w:family w:val="auto"/>
    <w:pitch w:val="default"/>
    <w:sig w:usb0="00000000" w:usb1="00000000" w:usb2="00000000" w:usb3="00000000" w:csb0="00040000" w:csb1="00000000"/>
  </w:font>
  <w:font w:name="Sim Hei">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Arial Black">
    <w:panose1 w:val="020B0A04020102020204"/>
    <w:charset w:val="00"/>
    <w:family w:val="swiss"/>
    <w:pitch w:val="default"/>
    <w:sig w:usb0="00000287" w:usb1="00000000" w:usb2="00000000" w:usb3="00000000" w:csb0="2000009F" w:csb1="DFD70000"/>
  </w:font>
  <w:font w:name="FZXiaoBiaoSong-B05">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Comic Sans MS">
    <w:panose1 w:val="030F07020303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61007BDF"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方正仿宋简体">
    <w:altName w:val="宋体"/>
    <w:panose1 w:val="02010601030101010101"/>
    <w:charset w:val="01"/>
    <w:family w:val="auto"/>
    <w:pitch w:val="default"/>
    <w:sig w:usb0="00000000" w:usb1="00000000" w:usb2="00000000" w:usb3="00000000" w:csb0="00040001" w:csb1="00000000"/>
  </w:font>
  <w:font w:name="汉仪仿宋简">
    <w:altName w:val="宋体"/>
    <w:panose1 w:val="00000000000000000000"/>
    <w:charset w:val="86"/>
    <w:family w:val="auto"/>
    <w:pitch w:val="default"/>
    <w:sig w:usb0="00000000" w:usb1="00000000" w:usb2="00000010" w:usb3="00000000" w:csb0="00040000" w:csb1="00000000"/>
  </w:font>
  <w:font w:name="Calibri Light">
    <w:altName w:val="PMingLiU"/>
    <w:panose1 w:val="020F0302020204030204"/>
    <w:charset w:val="00"/>
    <w:family w:val="roman"/>
    <w:pitch w:val="default"/>
    <w:sig w:usb0="00000000" w:usb1="00000000" w:usb2="00000000" w:usb3="00000000" w:csb0="2000019F" w:csb1="00000000"/>
  </w:font>
  <w:font w:name="Book Antiqua">
    <w:altName w:val="Palatino Linotype"/>
    <w:panose1 w:val="02040602050305030304"/>
    <w:charset w:val="00"/>
    <w:family w:val="roman"/>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黑体_GBK">
    <w:altName w:val="方正小标宋简体"/>
    <w:panose1 w:val="03000509000000000000"/>
    <w:charset w:val="86"/>
    <w:family w:val="script"/>
    <w:pitch w:val="default"/>
    <w:sig w:usb0="00000000" w:usb1="00000000" w:usb2="00000000" w:usb3="00000000" w:csb0="00040000" w:csb1="00000000"/>
  </w:font>
  <w:font w:name="Calibri">
    <w:altName w:val="Lucida Sans"/>
    <w:panose1 w:val="020F0502020204030204"/>
    <w:charset w:val="86"/>
    <w:family w:val="swiss"/>
    <w:pitch w:val="default"/>
    <w:sig w:usb0="00000000" w:usb1="00000000" w:usb2="00000001"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94CC9"/>
    <w:rsid w:val="00207CA6"/>
    <w:rsid w:val="41220D90"/>
    <w:rsid w:val="6E494CC9"/>
    <w:rsid w:val="78C6349B"/>
    <w:rsid w:val="79BA07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2018-10-29T02:32:00Z</dcterms:created>
  <dc:creator>scgt</dc:creator>
  <cp:lastModifiedBy>scgt</cp:lastModifiedBy>
  <dcterms:modified xsi:type="dcterms:W3CDTF">2019-06-19T07:20:00Z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